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bookmarkStart w:id="0" w:name="_GoBack"/>
      <w:bookmarkEnd w:id="0"/>
    </w:p>
    <w:p/>
    <w:p>
      <w:pPr>
        <w:widowControl/>
        <w:numPr>
          <w:ilvl w:val="0"/>
          <w:numId w:val="0"/>
        </w:numPr>
        <w:shd w:val="clear" w:color="auto" w:fill="FFFFFF"/>
        <w:spacing w:line="300" w:lineRule="auto"/>
        <w:ind w:leftChars="400" w:right="399" w:rightChars="190"/>
        <w:jc w:val="center"/>
        <w:rPr>
          <w:rFonts w:hint="eastAsia" w:asciiTheme="minorEastAsia" w:hAnsiTheme="minorEastAsia" w:eastAsiaTheme="minorEastAsia" w:cstheme="minorEastAsia"/>
          <w:b/>
          <w:bCs/>
          <w:kern w:val="0"/>
          <w:sz w:val="32"/>
          <w:szCs w:val="32"/>
          <w:lang w:val="en-US" w:eastAsia="zh-CN"/>
        </w:rPr>
      </w:pPr>
      <w:r>
        <w:rPr>
          <w:rFonts w:hint="eastAsia" w:asciiTheme="minorEastAsia" w:hAnsiTheme="minorEastAsia" w:cstheme="minorEastAsia"/>
          <w:b/>
          <w:bCs/>
          <w:kern w:val="0"/>
          <w:sz w:val="32"/>
          <w:szCs w:val="32"/>
          <w:lang w:val="en-US" w:eastAsia="zh-CN"/>
        </w:rPr>
        <w:t>热带农林学院</w:t>
      </w:r>
      <w:r>
        <w:rPr>
          <w:rFonts w:hint="eastAsia" w:asciiTheme="minorEastAsia" w:hAnsiTheme="minorEastAsia" w:eastAsiaTheme="minorEastAsia" w:cstheme="minorEastAsia"/>
          <w:b/>
          <w:bCs/>
          <w:kern w:val="0"/>
          <w:sz w:val="32"/>
          <w:szCs w:val="32"/>
          <w:lang w:val="en-US" w:eastAsia="zh-CN"/>
        </w:rPr>
        <w:t>儋州校区人文通识经典智慧树网络课程及简介</w:t>
      </w:r>
    </w:p>
    <w:p/>
    <w:tbl>
      <w:tblPr>
        <w:tblStyle w:val="3"/>
        <w:tblpPr w:leftFromText="180" w:rightFromText="180" w:vertAnchor="text" w:horzAnchor="page" w:tblpX="1262" w:tblpY="432"/>
        <w:tblOverlap w:val="never"/>
        <w:tblW w:w="94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0"/>
        <w:gridCol w:w="4192"/>
        <w:gridCol w:w="2474"/>
        <w:gridCol w:w="1228"/>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008080"/>
            <w:vAlign w:val="center"/>
          </w:tcPr>
          <w:p>
            <w:pPr>
              <w:keepNext w:val="0"/>
              <w:keepLines w:val="0"/>
              <w:widowControl/>
              <w:suppressLineNumbers w:val="0"/>
              <w:jc w:val="center"/>
              <w:textAlignment w:val="center"/>
              <w:rPr>
                <w:rFonts w:ascii="微软雅黑" w:hAnsi="微软雅黑" w:eastAsia="微软雅黑" w:cs="微软雅黑"/>
                <w:b/>
                <w:i w:val="0"/>
                <w:color w:val="FFFFFF"/>
                <w:sz w:val="20"/>
                <w:szCs w:val="20"/>
                <w:u w:val="none"/>
              </w:rPr>
            </w:pPr>
            <w:r>
              <w:rPr>
                <w:rFonts w:hint="eastAsia" w:ascii="微软雅黑" w:hAnsi="微软雅黑" w:eastAsia="微软雅黑" w:cs="微软雅黑"/>
                <w:b/>
                <w:i w:val="0"/>
                <w:color w:val="FFFFFF"/>
                <w:kern w:val="0"/>
                <w:sz w:val="20"/>
                <w:szCs w:val="20"/>
                <w:u w:val="none"/>
                <w:lang w:val="en-US" w:eastAsia="zh-CN" w:bidi="ar"/>
              </w:rPr>
              <w:t>序号</w:t>
            </w:r>
            <w:r>
              <w:rPr>
                <w:rFonts w:hint="eastAsia" w:ascii="微软雅黑" w:hAnsi="微软雅黑" w:eastAsia="微软雅黑" w:cs="微软雅黑"/>
                <w:b/>
                <w:i w:val="0"/>
                <w:color w:val="FFFFFF"/>
                <w:kern w:val="0"/>
                <w:sz w:val="20"/>
                <w:szCs w:val="20"/>
                <w:u w:val="none"/>
                <w:lang w:val="en-US" w:eastAsia="zh-CN" w:bidi="ar"/>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微软雅黑" w:hAnsi="微软雅黑" w:eastAsia="微软雅黑" w:cs="微软雅黑"/>
                <w:b/>
                <w:i w:val="0"/>
                <w:color w:val="FFFFFF"/>
                <w:kern w:val="0"/>
                <w:sz w:val="20"/>
                <w:szCs w:val="20"/>
                <w:u w:val="none"/>
                <w:lang w:val="en-US" w:eastAsia="zh-CN" w:bidi="ar"/>
              </w:rPr>
              <w:t xml:space="preserve"> </w:t>
            </w:r>
          </w:p>
        </w:tc>
        <w:tc>
          <w:tcPr>
            <w:tcW w:w="4192" w:type="dxa"/>
            <w:tcBorders>
              <w:top w:val="single" w:color="000000" w:sz="4" w:space="0"/>
              <w:left w:val="single" w:color="000000" w:sz="4" w:space="0"/>
            </w:tcBorders>
            <w:shd w:val="clear" w:color="auto" w:fill="008080"/>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0"/>
                <w:szCs w:val="20"/>
                <w:u w:val="none"/>
              </w:rPr>
            </w:pPr>
            <w:r>
              <w:rPr>
                <w:rFonts w:hint="eastAsia" w:ascii="微软雅黑" w:hAnsi="微软雅黑" w:eastAsia="微软雅黑" w:cs="微软雅黑"/>
                <w:b/>
                <w:i w:val="0"/>
                <w:color w:val="FFFFFF"/>
                <w:kern w:val="0"/>
                <w:sz w:val="20"/>
                <w:szCs w:val="20"/>
                <w:u w:val="none"/>
                <w:lang w:val="en-US" w:eastAsia="zh-CN" w:bidi="ar"/>
              </w:rPr>
              <w:t>课程名称</w:t>
            </w:r>
          </w:p>
        </w:tc>
        <w:tc>
          <w:tcPr>
            <w:tcW w:w="2474" w:type="dxa"/>
            <w:tcBorders>
              <w:top w:val="single" w:color="000000" w:sz="4" w:space="0"/>
              <w:left w:val="single" w:color="000000" w:sz="4" w:space="0"/>
              <w:bottom w:val="single" w:color="000000" w:sz="4" w:space="0"/>
              <w:right w:val="single" w:color="000000" w:sz="4" w:space="0"/>
            </w:tcBorders>
            <w:shd w:val="clear" w:color="auto" w:fill="008080"/>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0"/>
                <w:szCs w:val="20"/>
                <w:u w:val="none"/>
              </w:rPr>
            </w:pPr>
            <w:r>
              <w:rPr>
                <w:rFonts w:hint="eastAsia" w:ascii="微软雅黑" w:hAnsi="微软雅黑" w:eastAsia="微软雅黑" w:cs="微软雅黑"/>
                <w:b/>
                <w:i w:val="0"/>
                <w:color w:val="FFFFFF"/>
                <w:kern w:val="0"/>
                <w:sz w:val="20"/>
                <w:szCs w:val="20"/>
                <w:u w:val="none"/>
                <w:lang w:val="en-US" w:eastAsia="zh-CN" w:bidi="ar"/>
              </w:rPr>
              <w:t>开课学校</w:t>
            </w:r>
          </w:p>
        </w:tc>
        <w:tc>
          <w:tcPr>
            <w:tcW w:w="1228" w:type="dxa"/>
            <w:tcBorders>
              <w:top w:val="single" w:color="000000" w:sz="4" w:space="0"/>
              <w:left w:val="single" w:color="000000" w:sz="4" w:space="0"/>
              <w:bottom w:val="single" w:color="000000" w:sz="4" w:space="0"/>
              <w:right w:val="single" w:color="000000" w:sz="4" w:space="0"/>
            </w:tcBorders>
            <w:shd w:val="clear" w:color="auto" w:fill="008080"/>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0"/>
                <w:szCs w:val="20"/>
                <w:u w:val="none"/>
              </w:rPr>
            </w:pPr>
            <w:r>
              <w:rPr>
                <w:rFonts w:hint="eastAsia" w:ascii="微软雅黑" w:hAnsi="微软雅黑" w:eastAsia="微软雅黑" w:cs="微软雅黑"/>
                <w:b/>
                <w:i w:val="0"/>
                <w:color w:val="FFFFFF"/>
                <w:kern w:val="0"/>
                <w:sz w:val="20"/>
                <w:szCs w:val="20"/>
                <w:u w:val="none"/>
                <w:lang w:val="en-US" w:eastAsia="zh-CN" w:bidi="ar"/>
              </w:rPr>
              <w:t>负责人</w:t>
            </w:r>
          </w:p>
        </w:tc>
        <w:tc>
          <w:tcPr>
            <w:tcW w:w="914" w:type="dxa"/>
            <w:tcBorders>
              <w:top w:val="single" w:color="000000" w:sz="4" w:space="0"/>
              <w:left w:val="single" w:color="000000" w:sz="4" w:space="0"/>
              <w:bottom w:val="single" w:color="000000" w:sz="4" w:space="0"/>
              <w:right w:val="single" w:color="000000" w:sz="4" w:space="0"/>
            </w:tcBorders>
            <w:shd w:val="clear" w:color="auto" w:fill="008080"/>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0"/>
                <w:szCs w:val="20"/>
                <w:u w:val="none"/>
              </w:rPr>
            </w:pPr>
            <w:r>
              <w:rPr>
                <w:rFonts w:hint="eastAsia" w:ascii="微软雅黑" w:hAnsi="微软雅黑" w:eastAsia="微软雅黑" w:cs="微软雅黑"/>
                <w:b/>
                <w:i w:val="0"/>
                <w:color w:val="FFFFFF"/>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4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中国古典诗词中的品格与修养</w:t>
            </w:r>
          </w:p>
        </w:tc>
        <w:tc>
          <w:tcPr>
            <w:tcW w:w="2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南开大学</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张静</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4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中国哲学经典著作导读</w:t>
            </w:r>
          </w:p>
        </w:tc>
        <w:tc>
          <w:tcPr>
            <w:tcW w:w="2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西安交通大学</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燕连福</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2"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4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中华国学</w:t>
            </w:r>
          </w:p>
        </w:tc>
        <w:tc>
          <w:tcPr>
            <w:tcW w:w="2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南开大学</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张荣明</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4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文艺复兴经典名著选读</w:t>
            </w:r>
          </w:p>
        </w:tc>
        <w:tc>
          <w:tcPr>
            <w:tcW w:w="24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北京大学</w:t>
            </w:r>
          </w:p>
        </w:tc>
        <w:tc>
          <w:tcPr>
            <w:tcW w:w="12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朱孝远</w:t>
            </w:r>
          </w:p>
        </w:tc>
        <w:tc>
          <w:tcPr>
            <w:tcW w:w="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孙子兵法中的思维智慧</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哈尔滨工程大学</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于凡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3"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4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唐诗宋词人文解读</w:t>
            </w:r>
          </w:p>
        </w:tc>
        <w:tc>
          <w:tcPr>
            <w:tcW w:w="2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上海交通大学</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李康化</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r>
    </w:tbl>
    <w:p/>
    <w:p>
      <w:pPr>
        <w:rPr>
          <w:rFonts w:asciiTheme="minorHAnsi" w:hAnsiTheme="minorHAnsi" w:eastAsiaTheme="minorEastAsia" w:cstheme="minorBidi"/>
          <w:kern w:val="2"/>
          <w:sz w:val="21"/>
          <w:szCs w:val="24"/>
          <w:lang w:val="en-US" w:eastAsia="zh-CN" w:bidi="ar-SA"/>
        </w:rPr>
      </w:pPr>
    </w:p>
    <w:p>
      <w:pPr>
        <w:rPr>
          <w:rFonts w:asciiTheme="minorHAnsi" w:hAnsiTheme="minorHAnsi" w:eastAsiaTheme="minorEastAsia" w:cstheme="minorBidi"/>
          <w:kern w:val="2"/>
          <w:sz w:val="21"/>
          <w:szCs w:val="24"/>
          <w:lang w:val="en-US" w:eastAsia="zh-CN" w:bidi="ar-SA"/>
        </w:rPr>
      </w:pP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课程简介：</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1、课程名称：中国古典诗词中的品格与修养</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本课程结合具体作品，分别从作品中主人公的品格、作家自身的修养以及读者境界的层次逐个深入地引导大家一起去分析影响中国古典诗词中品格修养高下的因素，也就是作品、作家、读者三要素。选取了杜甫、李商隐、韦庄、晏殊、秦观、李清照、王国维等七位重要作家，逐一赏析他们的佳作名篇、剖解他们各自最具代表性的语体风格，引领大家深入对这些作家品格、作品风格的体认。结合现实生活选取了一批经典诗词，借助古典诗词佳作名篇的感染力，培养美好的人生情怀。</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2、课程名称：中国哲学经典著作导读</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本课程介绍中国哲学经典著作的主要思想。其中包括《周易》、孔子《论语》、老子《道德经》，《大学》《中庸》，《庄子》，《孙子兵法》，《墨经》，《心经》、朱熹理学想以及王阳明《传习录》的思想。既有对儒释道经典的介绍，也有对理学、心学思想的阐释，以期以一种更广阔的视角看待中国传统哲学，让学生能够对中国传统哲学有一种全方位的认识。</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3、课程名称：中华国学</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本课程是南开大学人文素质通识教育课程，获中国高等教育学会“大学素质教育精品通选课”称号。本课程中涉及诸子百家的部分，以“诸子的智慧”为课程名称，在教育部“爱课程”网站、“网易公开课”播出后，被评为“国家视频公开课”。现与东西部高校课程共享联盟的服务运营商智慧树合作，推出此课程。课程主要介绍：</w:t>
      </w:r>
      <w:r>
        <w:rPr>
          <w:rFonts w:hint="default" w:ascii="仿宋_GB2312" w:hAnsi="仿宋_GB2312" w:eastAsia="仿宋_GB2312" w:cs="仿宋_GB2312"/>
          <w:i w:val="0"/>
          <w:color w:val="000000"/>
          <w:kern w:val="0"/>
          <w:sz w:val="30"/>
          <w:szCs w:val="30"/>
          <w:u w:val="none"/>
          <w:lang w:val="en-US" w:eastAsia="zh-CN" w:bidi="ar"/>
        </w:rPr>
        <w:t>《易经》与易学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阴阳五行学说法家学说</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先秦儒学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诸子学说</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儒家经学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老子道学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庄子道学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道教学说</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佛教禅学</w:t>
      </w:r>
      <w:r>
        <w:rPr>
          <w:rFonts w:hint="eastAsia" w:ascii="仿宋_GB2312" w:hAnsi="仿宋_GB2312" w:eastAsia="仿宋_GB2312" w:cs="仿宋_GB2312"/>
          <w:i w:val="0"/>
          <w:color w:val="000000"/>
          <w:kern w:val="0"/>
          <w:sz w:val="30"/>
          <w:szCs w:val="30"/>
          <w:u w:val="none"/>
          <w:lang w:val="en-US" w:eastAsia="zh-CN" w:bidi="ar"/>
        </w:rPr>
        <w:t>、</w:t>
      </w:r>
      <w:r>
        <w:rPr>
          <w:rFonts w:hint="default" w:ascii="仿宋_GB2312" w:hAnsi="仿宋_GB2312" w:eastAsia="仿宋_GB2312" w:cs="仿宋_GB2312"/>
          <w:i w:val="0"/>
          <w:color w:val="000000"/>
          <w:kern w:val="0"/>
          <w:sz w:val="30"/>
          <w:szCs w:val="30"/>
          <w:u w:val="none"/>
          <w:lang w:val="en-US" w:eastAsia="zh-CN" w:bidi="ar"/>
        </w:rPr>
        <w:t>唯识学</w:t>
      </w:r>
      <w:r>
        <w:rPr>
          <w:rFonts w:hint="eastAsia" w:ascii="仿宋_GB2312" w:hAnsi="仿宋_GB2312" w:eastAsia="仿宋_GB2312" w:cs="仿宋_GB2312"/>
          <w:i w:val="0"/>
          <w:color w:val="000000"/>
          <w:kern w:val="0"/>
          <w:sz w:val="30"/>
          <w:szCs w:val="30"/>
          <w:u w:val="none"/>
          <w:lang w:val="en-US" w:eastAsia="zh-CN" w:bidi="ar"/>
        </w:rPr>
        <w:t>。本课程培养大学生高尚人格及审美情趣并实现国学文化的广度和深度的弘扬。</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p>
    <w:p>
      <w:pPr>
        <w:keepNext w:val="0"/>
        <w:keepLines w:val="0"/>
        <w:pageBreakBefore w:val="0"/>
        <w:widowControl w:val="0"/>
        <w:numPr>
          <w:ilvl w:val="0"/>
          <w:numId w:val="1"/>
        </w:numPr>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课程名称：文艺复兴经典名著选读</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本课程不单纯从历史的角度讲历史，而是从大文化的内涵发掘历史。课程以文艺复兴关键人物纵向陈列框架，以人物代表著作横向组织内容，历史、政治、文化、艺术——多学科内容交叉覆盖。让学生掌握欧洲文艺复兴历史的基本脉络，了解文艺复兴艺术、文学作品的风格及同时期政治、文化的风格；理解文艺复兴是欧洲由衰及兴的转折点；认知文化对国家发展的重要性；领悟学习文艺复兴的现实意义——文化强则国家强。</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p>
    <w:p>
      <w:pPr>
        <w:keepNext w:val="0"/>
        <w:keepLines w:val="0"/>
        <w:pageBreakBefore w:val="0"/>
        <w:widowControl w:val="0"/>
        <w:numPr>
          <w:ilvl w:val="0"/>
          <w:numId w:val="1"/>
        </w:numPr>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课程名称：孙子兵法中的思维智慧</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本课程以《孙子兵法》书中的思想观点为依托，结合大量事例分析，重点讲授思想的内涵和运用。课程内容中包含有大量的事例，涉及军事、政治、商业、外交、体育等各个领域。由于事例的涉及面较广，所以总能找到学生感兴趣的切合点，从而引导学生建立正确的世界观和人生观，学习分析问题的方法论。</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p>
    <w:p>
      <w:pPr>
        <w:keepNext w:val="0"/>
        <w:keepLines w:val="0"/>
        <w:pageBreakBefore w:val="0"/>
        <w:widowControl w:val="0"/>
        <w:numPr>
          <w:ilvl w:val="0"/>
          <w:numId w:val="1"/>
        </w:numPr>
        <w:tabs>
          <w:tab w:val="left" w:pos="1370"/>
        </w:tabs>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b/>
          <w:bCs/>
          <w:i w:val="0"/>
          <w:color w:val="000000"/>
          <w:kern w:val="0"/>
          <w:sz w:val="30"/>
          <w:szCs w:val="30"/>
          <w:u w:val="none"/>
          <w:lang w:val="en-US" w:eastAsia="zh-CN" w:bidi="ar"/>
        </w:rPr>
        <w:t>课程名称：唐诗宋词人文解读</w:t>
      </w:r>
    </w:p>
    <w:p>
      <w:pPr>
        <w:keepNext w:val="0"/>
        <w:keepLines w:val="0"/>
        <w:pageBreakBefore w:val="0"/>
        <w:widowControl w:val="0"/>
        <w:tabs>
          <w:tab w:val="left" w:pos="1370"/>
        </w:tabs>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唐诗宋词人文解读》不是单纯的诗词鉴赏课程，侧重点着眼在主题与情感、诗人与时代、艺术与审美等所蕴涵的人文精神。课程选取了唐诗、宋词中有代表性的若干主题，涉及到诗学样式、词体内涵、文人心理、文学种群、诗词情感、社会文化、文人与政治等多个层面的内容，涵盖了文学、哲学、心理学、文化人类学、政治学等各个层面。并通过“人”与“文”结合，将多个层次与层面相统一于“人文精神”。本课程选取的角度是主题类型的人文解读，与我们的日常生活以及文化精神生活息息相关，既能够引发情感共鸣，又能够给予审美愉悦。本课程让学生在读诗论词之中，通过中国文人了解中国历史与文化。《唐诗宋词人文解读》讲人，讲文，讲唐诗宋词中蕴含的人文精神，从中获得人生感悟、生活智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8C57"/>
    <w:multiLevelType w:val="singleLevel"/>
    <w:tmpl w:val="5A4D8C5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F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王冬梅</cp:lastModifiedBy>
  <dcterms:modified xsi:type="dcterms:W3CDTF">2018-12-26T00:20:15Z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