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C14" w:rsidRDefault="005C2FF6" w:rsidP="005C2FF6">
      <w:pPr>
        <w:pStyle w:val="p0"/>
        <w:wordWrap w:val="0"/>
        <w:snapToGrid w:val="0"/>
        <w:spacing w:before="0" w:beforeAutospacing="0" w:after="0" w:afterAutospacing="0" w:line="600" w:lineRule="atLeast"/>
        <w:jc w:val="center"/>
        <w:rPr>
          <w:rFonts w:ascii="Geneva" w:hAnsi="Geneva"/>
        </w:rPr>
      </w:pPr>
      <w:r>
        <w:rPr>
          <w:rFonts w:ascii="仿宋_GB2312" w:eastAsia="仿宋_GB2312" w:hAnsi="Geneva" w:hint="eastAsia"/>
          <w:sz w:val="32"/>
          <w:szCs w:val="32"/>
        </w:rPr>
        <w:t>琼教高〔2017〕161号</w:t>
      </w:r>
    </w:p>
    <w:p w:rsidR="00777C14" w:rsidRDefault="00777C14" w:rsidP="00777C14">
      <w:pPr>
        <w:pStyle w:val="p0"/>
        <w:snapToGrid w:val="0"/>
        <w:spacing w:before="0" w:beforeAutospacing="0" w:after="0" w:afterAutospacing="0" w:line="600" w:lineRule="atLeast"/>
        <w:jc w:val="center"/>
        <w:rPr>
          <w:rFonts w:ascii="Geneva" w:hAnsi="Geneva"/>
        </w:rPr>
      </w:pPr>
      <w:r>
        <w:rPr>
          <w:rFonts w:ascii="Geneva" w:hAnsi="Geneva"/>
        </w:rPr>
        <w:t> </w:t>
      </w:r>
    </w:p>
    <w:p w:rsidR="005C2FF6" w:rsidRDefault="00777C14" w:rsidP="00307F55">
      <w:pPr>
        <w:pStyle w:val="p0"/>
        <w:snapToGrid w:val="0"/>
        <w:spacing w:before="0" w:beforeAutospacing="0" w:after="0" w:afterAutospacing="0" w:line="700" w:lineRule="atLeast"/>
        <w:ind w:rightChars="-230" w:right="-483"/>
        <w:jc w:val="center"/>
        <w:rPr>
          <w:rFonts w:ascii="方正小标宋_GBK" w:eastAsia="方正小标宋_GBK" w:hAnsi="Geneva"/>
          <w:spacing w:val="-11"/>
          <w:sz w:val="44"/>
          <w:szCs w:val="44"/>
        </w:rPr>
      </w:pPr>
      <w:r>
        <w:rPr>
          <w:rFonts w:ascii="方正小标宋_GBK" w:eastAsia="方正小标宋_GBK" w:hAnsi="Geneva" w:hint="eastAsia"/>
          <w:spacing w:val="-11"/>
          <w:sz w:val="44"/>
          <w:szCs w:val="44"/>
        </w:rPr>
        <w:t>海南省教育厅关于开展201</w:t>
      </w:r>
      <w:r w:rsidR="005C2FF6">
        <w:rPr>
          <w:rFonts w:ascii="方正小标宋_GBK" w:eastAsia="方正小标宋_GBK" w:hAnsi="Geneva" w:hint="eastAsia"/>
          <w:spacing w:val="-11"/>
          <w:sz w:val="44"/>
          <w:szCs w:val="44"/>
        </w:rPr>
        <w:t>8</w:t>
      </w:r>
      <w:r>
        <w:rPr>
          <w:rFonts w:ascii="方正小标宋_GBK" w:eastAsia="方正小标宋_GBK" w:hAnsi="Geneva" w:hint="eastAsia"/>
          <w:spacing w:val="-11"/>
          <w:sz w:val="44"/>
          <w:szCs w:val="44"/>
        </w:rPr>
        <w:t>年度海南省高等</w:t>
      </w:r>
    </w:p>
    <w:p w:rsidR="00777C14" w:rsidRDefault="00777C14" w:rsidP="00307F55">
      <w:pPr>
        <w:pStyle w:val="p0"/>
        <w:snapToGrid w:val="0"/>
        <w:spacing w:before="0" w:beforeAutospacing="0" w:after="0" w:afterAutospacing="0" w:line="700" w:lineRule="atLeast"/>
        <w:ind w:rightChars="-230" w:right="-483"/>
        <w:jc w:val="center"/>
        <w:rPr>
          <w:rFonts w:ascii="Geneva" w:hAnsi="Geneva"/>
        </w:rPr>
      </w:pPr>
      <w:r>
        <w:rPr>
          <w:rFonts w:ascii="方正小标宋_GBK" w:eastAsia="方正小标宋_GBK" w:hAnsi="Geneva" w:hint="eastAsia"/>
          <w:spacing w:val="-11"/>
          <w:sz w:val="44"/>
          <w:szCs w:val="44"/>
        </w:rPr>
        <w:t>学校</w:t>
      </w:r>
      <w:r>
        <w:rPr>
          <w:rFonts w:ascii="方正小标宋_GBK" w:eastAsia="方正小标宋_GBK" w:hAnsi="Geneva" w:hint="eastAsia"/>
          <w:sz w:val="44"/>
          <w:szCs w:val="44"/>
        </w:rPr>
        <w:t>教育教学改革研究项目申报工作的通知</w:t>
      </w:r>
    </w:p>
    <w:p w:rsidR="00777C14" w:rsidRDefault="00777C14" w:rsidP="00777C14">
      <w:pPr>
        <w:pStyle w:val="p0"/>
        <w:snapToGrid w:val="0"/>
        <w:spacing w:before="0" w:beforeAutospacing="0" w:after="0" w:afterAutospacing="0" w:line="560" w:lineRule="atLeast"/>
        <w:ind w:firstLine="640"/>
        <w:jc w:val="both"/>
        <w:rPr>
          <w:rFonts w:ascii="Geneva" w:hAnsi="Geneva"/>
        </w:rPr>
      </w:pPr>
      <w:r>
        <w:rPr>
          <w:rFonts w:ascii="Geneva" w:hAnsi="Geneva"/>
        </w:rPr>
        <w:t> </w:t>
      </w:r>
    </w:p>
    <w:p w:rsidR="005C2FF6" w:rsidRDefault="005C2FF6" w:rsidP="005C2FF6">
      <w:pPr>
        <w:pStyle w:val="p0"/>
        <w:snapToGrid w:val="0"/>
        <w:spacing w:before="0" w:beforeAutospacing="0" w:after="0" w:afterAutospacing="0" w:line="560" w:lineRule="exact"/>
        <w:jc w:val="both"/>
        <w:rPr>
          <w:rFonts w:ascii="Geneva" w:hAnsi="Geneva"/>
        </w:rPr>
      </w:pPr>
      <w:r>
        <w:rPr>
          <w:rFonts w:ascii="仿宋_GB2312" w:eastAsia="仿宋_GB2312" w:hAnsi="Geneva" w:hint="eastAsia"/>
          <w:sz w:val="32"/>
          <w:szCs w:val="32"/>
        </w:rPr>
        <w:t>各高等学校：</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为了进一步加强我省高等教育内涵建设，强化教学基础地位，深化教学改革,培育优秀教育教学成果并发挥示范引领作用，提升人才培养质量，我厅决定开展2018年度海南省高等学校教育教学改革研究项目申报工作。现就有关事项通知如下:</w:t>
      </w:r>
    </w:p>
    <w:p w:rsidR="005C2FF6" w:rsidRDefault="005C2FF6" w:rsidP="00FC1E1E">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一、申报领域</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教育教学改革研究。</w:t>
      </w:r>
    </w:p>
    <w:p w:rsidR="005C2FF6" w:rsidRPr="005C2FF6" w:rsidRDefault="005C2FF6" w:rsidP="00FC1E1E">
      <w:pPr>
        <w:pStyle w:val="p0"/>
        <w:snapToGrid w:val="0"/>
        <w:spacing w:beforeLines="50" w:beforeAutospacing="0" w:afterLines="50" w:afterAutospacing="0" w:line="560" w:lineRule="exact"/>
        <w:ind w:firstLine="641"/>
        <w:jc w:val="both"/>
        <w:rPr>
          <w:rFonts w:ascii="黑体" w:eastAsia="黑体" w:hAnsi="黑体"/>
          <w:sz w:val="32"/>
          <w:szCs w:val="32"/>
        </w:rPr>
      </w:pPr>
      <w:r>
        <w:rPr>
          <w:rFonts w:ascii="黑体" w:eastAsia="黑体" w:hAnsi="黑体" w:hint="eastAsia"/>
          <w:sz w:val="32"/>
          <w:szCs w:val="32"/>
        </w:rPr>
        <w:t>二、项目申请人资格条件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（一）申请人须为我省高等学校在职教师、研究人员和管理人员;</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（二）一般项目申请人须具备中级（含中级）以上专业技术职务或硕士以上学位，不具备中级以上专业技术职务的，须有两名副高以上专业技术职务的同行专家书面推荐</w:t>
      </w:r>
      <w:r w:rsidR="00FC1E1E">
        <w:rPr>
          <w:rFonts w:ascii="仿宋_GB2312" w:eastAsia="仿宋_GB2312" w:hAnsi="Geneva" w:hint="eastAsia"/>
          <w:sz w:val="32"/>
          <w:szCs w:val="32"/>
        </w:rPr>
        <w:t>;</w:t>
      </w:r>
      <w:r>
        <w:rPr>
          <w:rFonts w:ascii="仿宋_GB2312" w:eastAsia="仿宋_GB2312" w:hAnsi="Geneva" w:hint="eastAsia"/>
          <w:sz w:val="32"/>
          <w:szCs w:val="32"/>
        </w:rPr>
        <w:t>重点项目申请人须具备高级以上专业技术职务且申报时年龄不超过60岁；</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（三）为保证项目完成质量，申请人只能申请一个项目，但可以作为项目组成员参加另一个项目的申请;</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（四）历年立项未结题和被撤项的海南省高等学校教育教学改革研究项目、科学研究项目的负责人（自撤项发文之日起3年内）不能再申报此类项目;</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（五）己在其他部门申请立项或已立项的项目不能再重复申报此类项目;</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（六）申请人只能从海南省高等学校教育教学改革研究项目和科学研究项目中选择一类进行申报。</w:t>
      </w:r>
    </w:p>
    <w:p w:rsidR="005C2FF6" w:rsidRDefault="005C2FF6" w:rsidP="00FC1E1E">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三、项目层次、立项、申报数额</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2018年度海南省高等学校教育教学改革研究项目分重点项目和一般项目两个层次，申请人只可选择其中一类进行申报，评审时重点项目与一般项目分开评审，重点项目落选将不参与一般项目评审。</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2018年海南省高等学校教育教学改革研究项目拟立项120项，其中重点项目20项，一般项目100项。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各校项目申报采取限额推荐的方式进行，重点项目和一般项目申报推荐数额由学校统筹，各校推荐项目数额如下：</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楷体_GB2312" w:eastAsia="楷体_GB2312" w:hAnsi="Geneva" w:hint="eastAsia"/>
          <w:sz w:val="32"/>
          <w:szCs w:val="32"/>
        </w:rPr>
        <w:t>（一）本科高校</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海南大学</w:t>
      </w:r>
      <w:r>
        <w:rPr>
          <w:rFonts w:ascii="仿宋_GB2312" w:eastAsia="仿宋_GB2312" w:hAnsi="Geneva" w:hint="eastAsia"/>
          <w:sz w:val="32"/>
          <w:szCs w:val="32"/>
        </w:rPr>
        <w:t>         </w:t>
      </w:r>
      <w:r>
        <w:rPr>
          <w:rFonts w:ascii="Geneva" w:hAnsi="Geneva"/>
        </w:rPr>
        <w:t> </w:t>
      </w:r>
      <w:r>
        <w:rPr>
          <w:rFonts w:ascii="仿宋_GB2312" w:eastAsia="仿宋_GB2312" w:hAnsi="Geneva" w:hint="eastAsia"/>
          <w:sz w:val="32"/>
          <w:szCs w:val="32"/>
        </w:rPr>
        <w:t> </w:t>
      </w:r>
      <w:r>
        <w:rPr>
          <w:rFonts w:ascii="仿宋_GB2312" w:eastAsia="仿宋_GB2312" w:hAnsi="Geneva" w:hint="eastAsia"/>
          <w:sz w:val="32"/>
          <w:szCs w:val="32"/>
        </w:rPr>
        <w:t>35项（其中热带农林学院不少于5项）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海南师范大学</w:t>
      </w:r>
      <w:r>
        <w:rPr>
          <w:rFonts w:ascii="仿宋_GB2312" w:eastAsia="仿宋_GB2312" w:hAnsi="Geneva" w:hint="eastAsia"/>
          <w:sz w:val="32"/>
          <w:szCs w:val="32"/>
        </w:rPr>
        <w:t>    </w:t>
      </w:r>
      <w:r>
        <w:rPr>
          <w:rFonts w:ascii="Geneva" w:hAnsi="Geneva"/>
        </w:rPr>
        <w:t> </w:t>
      </w:r>
      <w:r>
        <w:rPr>
          <w:rFonts w:ascii="仿宋_GB2312" w:eastAsia="仿宋_GB2312" w:hAnsi="Geneva" w:hint="eastAsia"/>
          <w:sz w:val="32"/>
          <w:szCs w:val="32"/>
        </w:rPr>
        <w:t>  </w:t>
      </w:r>
      <w:r>
        <w:rPr>
          <w:rFonts w:ascii="仿宋_GB2312" w:eastAsia="仿宋_GB2312" w:hAnsi="Geneva" w:hint="eastAsia"/>
          <w:sz w:val="32"/>
          <w:szCs w:val="32"/>
        </w:rPr>
        <w:t>25项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海南医学院</w:t>
      </w:r>
      <w:r>
        <w:rPr>
          <w:rFonts w:ascii="仿宋_GB2312" w:eastAsia="仿宋_GB2312" w:hAnsi="Geneva" w:hint="eastAsia"/>
          <w:sz w:val="32"/>
          <w:szCs w:val="32"/>
        </w:rPr>
        <w:t>       </w:t>
      </w:r>
      <w:r>
        <w:rPr>
          <w:rFonts w:ascii="Geneva" w:hAnsi="Geneva"/>
        </w:rPr>
        <w:t>  </w:t>
      </w:r>
      <w:r>
        <w:rPr>
          <w:rFonts w:ascii="仿宋_GB2312" w:eastAsia="仿宋_GB2312" w:hAnsi="Geneva" w:hint="eastAsia"/>
          <w:sz w:val="32"/>
          <w:szCs w:val="32"/>
        </w:rPr>
        <w:t>25项（其中附属第一医院5项,附属第</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                         </w:t>
      </w:r>
      <w:r>
        <w:rPr>
          <w:rFonts w:ascii="仿宋_GB2312" w:eastAsia="仿宋_GB2312" w:hAnsi="Geneva" w:hint="eastAsia"/>
          <w:sz w:val="32"/>
          <w:szCs w:val="32"/>
        </w:rPr>
        <w:t>二医院4项）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海南热带海洋学院</w:t>
      </w:r>
      <w:r>
        <w:rPr>
          <w:rFonts w:ascii="仿宋_GB2312" w:eastAsia="仿宋_GB2312" w:hAnsi="Geneva" w:hint="eastAsia"/>
          <w:sz w:val="32"/>
          <w:szCs w:val="32"/>
        </w:rPr>
        <w:t>   </w:t>
      </w:r>
      <w:r>
        <w:rPr>
          <w:rFonts w:ascii="仿宋_GB2312" w:eastAsia="仿宋_GB2312" w:hAnsi="Geneva" w:hint="eastAsia"/>
          <w:sz w:val="32"/>
          <w:szCs w:val="32"/>
        </w:rPr>
        <w:t>15项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三亚学院</w:t>
      </w:r>
      <w:r>
        <w:rPr>
          <w:rFonts w:ascii="仿宋_GB2312" w:eastAsia="仿宋_GB2312" w:hAnsi="Geneva" w:hint="eastAsia"/>
          <w:sz w:val="32"/>
          <w:szCs w:val="32"/>
        </w:rPr>
        <w:t>         </w:t>
      </w:r>
      <w:r>
        <w:rPr>
          <w:rFonts w:ascii="Geneva" w:hAnsi="Geneva"/>
        </w:rPr>
        <w:t> </w:t>
      </w:r>
      <w:r>
        <w:rPr>
          <w:rFonts w:ascii="仿宋_GB2312" w:eastAsia="仿宋_GB2312" w:hAnsi="Geneva" w:hint="eastAsia"/>
          <w:sz w:val="32"/>
          <w:szCs w:val="32"/>
        </w:rPr>
        <w:t> </w:t>
      </w:r>
      <w:r>
        <w:rPr>
          <w:rFonts w:ascii="仿宋_GB2312" w:eastAsia="仿宋_GB2312" w:hAnsi="Geneva" w:hint="eastAsia"/>
          <w:sz w:val="32"/>
          <w:szCs w:val="32"/>
        </w:rPr>
        <w:t>10项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海口经济学院</w:t>
      </w:r>
      <w:r>
        <w:rPr>
          <w:rFonts w:ascii="仿宋_GB2312" w:eastAsia="仿宋_GB2312" w:hAnsi="Geneva" w:hint="eastAsia"/>
          <w:sz w:val="32"/>
          <w:szCs w:val="32"/>
        </w:rPr>
        <w:t>     </w:t>
      </w:r>
      <w:r>
        <w:rPr>
          <w:rFonts w:ascii="Geneva" w:hAnsi="Geneva"/>
        </w:rPr>
        <w:t> </w:t>
      </w:r>
      <w:r>
        <w:rPr>
          <w:rFonts w:ascii="仿宋_GB2312" w:eastAsia="仿宋_GB2312" w:hAnsi="Geneva" w:hint="eastAsia"/>
          <w:sz w:val="32"/>
          <w:szCs w:val="32"/>
        </w:rPr>
        <w:t> </w:t>
      </w:r>
      <w:r>
        <w:rPr>
          <w:rFonts w:ascii="仿宋_GB2312" w:eastAsia="仿宋_GB2312" w:hAnsi="Geneva" w:hint="eastAsia"/>
          <w:sz w:val="32"/>
          <w:szCs w:val="32"/>
        </w:rPr>
        <w:t>10项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琼台师范学院</w:t>
      </w:r>
      <w:r>
        <w:rPr>
          <w:rFonts w:ascii="仿宋_GB2312" w:eastAsia="仿宋_GB2312" w:hAnsi="Geneva" w:hint="eastAsia"/>
          <w:sz w:val="32"/>
          <w:szCs w:val="32"/>
        </w:rPr>
        <w:t>       </w:t>
      </w:r>
      <w:r>
        <w:rPr>
          <w:rFonts w:ascii="仿宋_GB2312" w:eastAsia="仿宋_GB2312" w:hAnsi="Geneva" w:hint="eastAsia"/>
          <w:sz w:val="32"/>
          <w:szCs w:val="32"/>
        </w:rPr>
        <w:t>8项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楷体_GB2312" w:eastAsia="楷体_GB2312" w:hAnsi="Geneva" w:hint="eastAsia"/>
          <w:sz w:val="32"/>
          <w:szCs w:val="32"/>
        </w:rPr>
        <w:t>（二）成人高校</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海南广播电视大学</w:t>
      </w:r>
      <w:r>
        <w:rPr>
          <w:rFonts w:ascii="仿宋_GB2312" w:eastAsia="仿宋_GB2312" w:hAnsi="Geneva" w:hint="eastAsia"/>
          <w:sz w:val="32"/>
          <w:szCs w:val="32"/>
        </w:rPr>
        <w:t>         </w:t>
      </w:r>
      <w:r>
        <w:rPr>
          <w:rFonts w:ascii="仿宋_GB2312" w:eastAsia="仿宋_GB2312" w:hAnsi="Geneva" w:hint="eastAsia"/>
          <w:sz w:val="32"/>
          <w:szCs w:val="32"/>
        </w:rPr>
        <w:t>5项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楷体_GB2312" w:eastAsia="楷体_GB2312" w:hAnsi="Geneva" w:hint="eastAsia"/>
          <w:sz w:val="32"/>
          <w:szCs w:val="32"/>
        </w:rPr>
        <w:t>（三）高职院校</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海南职业技术学院</w:t>
      </w:r>
      <w:r>
        <w:rPr>
          <w:rFonts w:ascii="仿宋_GB2312" w:eastAsia="仿宋_GB2312" w:hAnsi="Geneva" w:hint="eastAsia"/>
          <w:sz w:val="32"/>
          <w:szCs w:val="32"/>
        </w:rPr>
        <w:t>         </w:t>
      </w:r>
      <w:r>
        <w:rPr>
          <w:rFonts w:ascii="仿宋_GB2312" w:eastAsia="仿宋_GB2312" w:hAnsi="Geneva" w:hint="eastAsia"/>
          <w:sz w:val="32"/>
          <w:szCs w:val="32"/>
        </w:rPr>
        <w:t>7项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海南经贸职业技术学院</w:t>
      </w:r>
      <w:r>
        <w:rPr>
          <w:rFonts w:ascii="仿宋_GB2312" w:eastAsia="仿宋_GB2312" w:hAnsi="Geneva" w:hint="eastAsia"/>
          <w:sz w:val="32"/>
          <w:szCs w:val="32"/>
        </w:rPr>
        <w:t>     </w:t>
      </w:r>
      <w:r>
        <w:rPr>
          <w:rFonts w:ascii="仿宋_GB2312" w:eastAsia="仿宋_GB2312" w:hAnsi="Geneva" w:hint="eastAsia"/>
          <w:sz w:val="32"/>
          <w:szCs w:val="32"/>
        </w:rPr>
        <w:t>7项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海南软件职业技术学院</w:t>
      </w:r>
      <w:r>
        <w:rPr>
          <w:rFonts w:ascii="仿宋_GB2312" w:eastAsia="仿宋_GB2312" w:hAnsi="Geneva" w:hint="eastAsia"/>
          <w:sz w:val="32"/>
          <w:szCs w:val="32"/>
        </w:rPr>
        <w:t>     </w:t>
      </w:r>
      <w:r>
        <w:rPr>
          <w:rFonts w:ascii="仿宋_GB2312" w:eastAsia="仿宋_GB2312" w:hAnsi="Geneva" w:hint="eastAsia"/>
          <w:sz w:val="32"/>
          <w:szCs w:val="32"/>
        </w:rPr>
        <w:t>6项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海南外国语职业学院</w:t>
      </w:r>
      <w:r>
        <w:rPr>
          <w:rFonts w:ascii="仿宋_GB2312" w:eastAsia="仿宋_GB2312" w:hAnsi="Geneva" w:hint="eastAsia"/>
          <w:sz w:val="32"/>
          <w:szCs w:val="32"/>
        </w:rPr>
        <w:t>     </w:t>
      </w:r>
      <w:r>
        <w:rPr>
          <w:rFonts w:ascii="Geneva" w:hAnsi="Geneva"/>
        </w:rPr>
        <w:t>  </w:t>
      </w:r>
      <w:r>
        <w:rPr>
          <w:rFonts w:ascii="仿宋_GB2312" w:eastAsia="仿宋_GB2312" w:hAnsi="Geneva" w:hint="eastAsia"/>
          <w:sz w:val="32"/>
          <w:szCs w:val="32"/>
        </w:rPr>
        <w:t>6项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海南政法职业学院</w:t>
      </w:r>
      <w:r>
        <w:rPr>
          <w:rFonts w:ascii="仿宋_GB2312" w:eastAsia="仿宋_GB2312" w:hAnsi="Geneva" w:hint="eastAsia"/>
          <w:sz w:val="32"/>
          <w:szCs w:val="32"/>
        </w:rPr>
        <w:t>         </w:t>
      </w:r>
      <w:r>
        <w:rPr>
          <w:rFonts w:ascii="仿宋_GB2312" w:eastAsia="仿宋_GB2312" w:hAnsi="Geneva" w:hint="eastAsia"/>
          <w:sz w:val="32"/>
          <w:szCs w:val="32"/>
        </w:rPr>
        <w:t>6项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三亚城市职业学院</w:t>
      </w:r>
      <w:r>
        <w:rPr>
          <w:rFonts w:ascii="仿宋_GB2312" w:eastAsia="仿宋_GB2312" w:hAnsi="Geneva" w:hint="eastAsia"/>
          <w:sz w:val="32"/>
          <w:szCs w:val="32"/>
        </w:rPr>
        <w:t>    </w:t>
      </w:r>
      <w:r>
        <w:rPr>
          <w:rFonts w:ascii="Geneva" w:hAnsi="Geneva"/>
        </w:rPr>
        <w:t>  </w:t>
      </w:r>
      <w:r>
        <w:rPr>
          <w:rFonts w:ascii="仿宋_GB2312" w:eastAsia="仿宋_GB2312" w:hAnsi="Geneva" w:hint="eastAsia"/>
          <w:sz w:val="32"/>
          <w:szCs w:val="32"/>
        </w:rPr>
        <w:t>   </w:t>
      </w:r>
      <w:r>
        <w:rPr>
          <w:rFonts w:ascii="仿宋_GB2312" w:eastAsia="仿宋_GB2312" w:hAnsi="Geneva" w:hint="eastAsia"/>
          <w:sz w:val="32"/>
          <w:szCs w:val="32"/>
        </w:rPr>
        <w:t>4项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海南工商职业学院</w:t>
      </w:r>
      <w:r>
        <w:rPr>
          <w:rFonts w:ascii="仿宋_GB2312" w:eastAsia="仿宋_GB2312" w:hAnsi="Geneva" w:hint="eastAsia"/>
          <w:sz w:val="32"/>
          <w:szCs w:val="32"/>
        </w:rPr>
        <w:t>         </w:t>
      </w:r>
      <w:r>
        <w:rPr>
          <w:rFonts w:ascii="仿宋_GB2312" w:eastAsia="仿宋_GB2312" w:hAnsi="Geneva" w:hint="eastAsia"/>
          <w:sz w:val="32"/>
          <w:szCs w:val="32"/>
        </w:rPr>
        <w:t>5项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三亚航空旅游职业学院</w:t>
      </w:r>
      <w:r>
        <w:rPr>
          <w:rFonts w:ascii="仿宋_GB2312" w:eastAsia="仿宋_GB2312" w:hAnsi="Geneva" w:hint="eastAsia"/>
          <w:sz w:val="32"/>
          <w:szCs w:val="32"/>
        </w:rPr>
        <w:t>     </w:t>
      </w:r>
      <w:r>
        <w:rPr>
          <w:rFonts w:ascii="仿宋_GB2312" w:eastAsia="仿宋_GB2312" w:hAnsi="Geneva" w:hint="eastAsia"/>
          <w:sz w:val="32"/>
          <w:szCs w:val="32"/>
        </w:rPr>
        <w:t>5项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海南科技职业学院</w:t>
      </w:r>
      <w:r>
        <w:rPr>
          <w:rFonts w:ascii="仿宋_GB2312" w:eastAsia="仿宋_GB2312" w:hAnsi="Geneva" w:hint="eastAsia"/>
          <w:sz w:val="32"/>
          <w:szCs w:val="32"/>
        </w:rPr>
        <w:t>         </w:t>
      </w:r>
      <w:r>
        <w:rPr>
          <w:rFonts w:ascii="仿宋_GB2312" w:eastAsia="仿宋_GB2312" w:hAnsi="Geneva" w:hint="eastAsia"/>
          <w:sz w:val="32"/>
          <w:szCs w:val="32"/>
        </w:rPr>
        <w:t>6项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三亚理工职业学院</w:t>
      </w:r>
      <w:r>
        <w:rPr>
          <w:rFonts w:ascii="仿宋_GB2312" w:eastAsia="仿宋_GB2312" w:hAnsi="Geneva" w:hint="eastAsia"/>
          <w:sz w:val="32"/>
          <w:szCs w:val="32"/>
        </w:rPr>
        <w:t>         </w:t>
      </w:r>
      <w:r>
        <w:rPr>
          <w:rFonts w:ascii="仿宋_GB2312" w:eastAsia="仿宋_GB2312" w:hAnsi="Geneva" w:hint="eastAsia"/>
          <w:sz w:val="32"/>
          <w:szCs w:val="32"/>
        </w:rPr>
        <w:t>4项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海南体育职业技术学院</w:t>
      </w:r>
      <w:r>
        <w:rPr>
          <w:rFonts w:ascii="仿宋_GB2312" w:eastAsia="仿宋_GB2312" w:hAnsi="Geneva" w:hint="eastAsia"/>
          <w:sz w:val="32"/>
          <w:szCs w:val="32"/>
        </w:rPr>
        <w:t>     </w:t>
      </w:r>
      <w:r>
        <w:rPr>
          <w:rFonts w:ascii="仿宋_GB2312" w:eastAsia="仿宋_GB2312" w:hAnsi="Geneva" w:hint="eastAsia"/>
          <w:sz w:val="32"/>
          <w:szCs w:val="32"/>
        </w:rPr>
        <w:t>3项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三亚中瑞酒店管理职业学院</w:t>
      </w:r>
      <w:r>
        <w:rPr>
          <w:rFonts w:ascii="仿宋_GB2312" w:eastAsia="仿宋_GB2312" w:hAnsi="Geneva" w:hint="eastAsia"/>
          <w:sz w:val="32"/>
          <w:szCs w:val="32"/>
        </w:rPr>
        <w:t> </w:t>
      </w:r>
      <w:r>
        <w:rPr>
          <w:rFonts w:ascii="仿宋_GB2312" w:eastAsia="仿宋_GB2312" w:hAnsi="Geneva" w:hint="eastAsia"/>
          <w:sz w:val="32"/>
          <w:szCs w:val="32"/>
        </w:rPr>
        <w:t>3项</w:t>
      </w:r>
    </w:p>
    <w:p w:rsidR="005C2FF6" w:rsidRDefault="005C2FF6" w:rsidP="00FC1E1E">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四、申报要求</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（一）申报需严格按照指南（详见附件）进行，指南外项目原则上不予立项；</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（二）鼓励一线教师，尤其是中青年教师积极承担或参与教改项目研究，各高校申报项目中一线教师主持的项目不得少于总数的60%；</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（三）项目要从我省高等教育教学的实际出发，注重系统研究、整体优化、综合实践，要有一定的推广性；</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（四）已立项研究较多，或已有较为成熟研究成果的，如无新思想、新发展的，不再申报。</w:t>
      </w:r>
    </w:p>
    <w:p w:rsidR="005C2FF6" w:rsidRDefault="005C2FF6" w:rsidP="00FC1E1E">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五、项目申报的程序</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（一）各高校教务管理部门具体负责项目的组织申报工作；</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（二）项目实行网络申报，申报网址：海南省高等教育网xm.hngjc.cn，网络申报须在2017年10月31日前完成；</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（三）各高校教务管理部门对项目进行形式审查，并组织校教学委员会（或学术委员会）对申报项目进行评审，并签署意见；</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四）各高校教务管理部门统一将纸质《海南省高等学校教育教学改革研究项目申请书》（以下简称《申请书》，可在海南省高等教育网下载）一式1份、在线打印《2018年度海南省高等学校教育教学改革研究项目申报汇总表》1份并加盖公章于2017年11月8日前报送省教育厅高等教育处（海口市国兴大道9号省政府办公楼417室）。</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联系人：梁俊，联系电话：65339364。</w:t>
      </w:r>
    </w:p>
    <w:p w:rsidR="005C2FF6" w:rsidRDefault="005C2FF6" w:rsidP="00FC1E1E">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六、项目评审</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项目评审时间拟定于2017年12月进行，评审工作由省教育厅负责组织。经专家评审拟同意立项的项目，由省教育厅审核后发文公布。</w:t>
      </w:r>
    </w:p>
    <w:p w:rsidR="005C2FF6" w:rsidRDefault="005C2FF6" w:rsidP="00FC1E1E">
      <w:pPr>
        <w:pStyle w:val="p0"/>
        <w:snapToGrid w:val="0"/>
        <w:spacing w:beforeLines="50" w:beforeAutospacing="0" w:afterLines="50" w:afterAutospacing="0" w:line="560" w:lineRule="exact"/>
        <w:ind w:firstLine="641"/>
        <w:jc w:val="both"/>
        <w:rPr>
          <w:rFonts w:ascii="黑体" w:eastAsia="黑体" w:hAnsi="黑体"/>
          <w:sz w:val="32"/>
          <w:szCs w:val="32"/>
        </w:rPr>
      </w:pPr>
    </w:p>
    <w:p w:rsidR="005C2FF6" w:rsidRDefault="005C2FF6" w:rsidP="00FC1E1E">
      <w:pPr>
        <w:pStyle w:val="p0"/>
        <w:snapToGrid w:val="0"/>
        <w:spacing w:beforeLines="50" w:beforeAutospacing="0" w:afterLines="50" w:afterAutospacing="0" w:line="560" w:lineRule="exact"/>
        <w:ind w:firstLine="641"/>
        <w:jc w:val="both"/>
        <w:rPr>
          <w:rFonts w:ascii="黑体" w:eastAsia="黑体" w:hAnsi="黑体"/>
          <w:sz w:val="32"/>
          <w:szCs w:val="32"/>
        </w:rPr>
      </w:pPr>
    </w:p>
    <w:p w:rsidR="005C2FF6" w:rsidRDefault="005C2FF6" w:rsidP="00FC1E1E">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lastRenderedPageBreak/>
        <w:t>七、其他要求</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（一）各高校按通知要求认真做好项目申报工作，要广泛宣传动员，做好形式审查，充分发挥校教学委员会（或学术委员会）作用，严格把关，做到宁缺勿滥；</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（二）项目申请人要认真填写《申请书》，不按规定填写的，不予受理；</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（三）我厅不受理个人直接报送的《申请书》；</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（四）获得批准立项的项目研究时限一般为3年，研究开始时间统一写成2018年1月；</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（五）项目负责人在项目研究期间，要遵守各项承诺，履行约定义务，按期完成研究任务。</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Geneva" w:hAnsi="Geneva"/>
        </w:rPr>
        <w:t> </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附件：2018年度海南省高等学校教育教学改革研究项目立项指南</w:t>
      </w:r>
    </w:p>
    <w:p w:rsidR="005C2FF6" w:rsidRDefault="005C2FF6" w:rsidP="005C2FF6">
      <w:pPr>
        <w:pStyle w:val="p0"/>
        <w:snapToGrid w:val="0"/>
        <w:spacing w:before="0" w:beforeAutospacing="0" w:after="0" w:afterAutospacing="0" w:line="560" w:lineRule="exact"/>
        <w:ind w:firstLine="4480"/>
        <w:jc w:val="both"/>
        <w:rPr>
          <w:rFonts w:ascii="Geneva" w:hAnsi="Geneva"/>
        </w:rPr>
      </w:pPr>
      <w:r>
        <w:rPr>
          <w:rFonts w:ascii="Geneva" w:hAnsi="Geneva"/>
        </w:rPr>
        <w:t> </w:t>
      </w:r>
    </w:p>
    <w:p w:rsidR="005C2FF6" w:rsidRDefault="005C2FF6" w:rsidP="005C2FF6">
      <w:pPr>
        <w:pStyle w:val="p0"/>
        <w:snapToGrid w:val="0"/>
        <w:spacing w:before="0" w:beforeAutospacing="0" w:after="0" w:afterAutospacing="0" w:line="560" w:lineRule="exact"/>
        <w:ind w:firstLine="4480"/>
        <w:jc w:val="both"/>
        <w:rPr>
          <w:rFonts w:ascii="Geneva" w:hAnsi="Geneva"/>
        </w:rPr>
      </w:pPr>
      <w:r>
        <w:rPr>
          <w:rFonts w:ascii="Geneva" w:hAnsi="Geneva"/>
        </w:rPr>
        <w:t> </w:t>
      </w:r>
    </w:p>
    <w:p w:rsidR="005C2FF6" w:rsidRDefault="005C2FF6" w:rsidP="005C2FF6">
      <w:pPr>
        <w:pStyle w:val="p0"/>
        <w:snapToGrid w:val="0"/>
        <w:spacing w:before="0" w:beforeAutospacing="0" w:after="0" w:afterAutospacing="0" w:line="560" w:lineRule="exact"/>
        <w:jc w:val="both"/>
        <w:rPr>
          <w:rFonts w:ascii="Geneva" w:hAnsi="Geneva"/>
        </w:rPr>
      </w:pPr>
      <w:r>
        <w:rPr>
          <w:rFonts w:ascii="仿宋_GB2312" w:eastAsia="仿宋_GB2312" w:hAnsi="Geneva" w:hint="eastAsia"/>
          <w:sz w:val="32"/>
          <w:szCs w:val="32"/>
        </w:rPr>
        <w:t>                                 </w:t>
      </w:r>
      <w:r>
        <w:rPr>
          <w:rFonts w:ascii="仿宋_GB2312" w:eastAsia="仿宋_GB2312" w:hAnsi="Geneva" w:hint="eastAsia"/>
          <w:sz w:val="32"/>
          <w:szCs w:val="32"/>
        </w:rPr>
        <w:t>海南省教育厅</w:t>
      </w:r>
    </w:p>
    <w:p w:rsidR="005C2FF6" w:rsidRDefault="005C2FF6" w:rsidP="005C2FF6">
      <w:pPr>
        <w:pStyle w:val="p0"/>
        <w:snapToGrid w:val="0"/>
        <w:spacing w:before="0" w:beforeAutospacing="0" w:after="0" w:afterAutospacing="0" w:line="560" w:lineRule="exact"/>
        <w:jc w:val="both"/>
        <w:rPr>
          <w:rFonts w:ascii="Geneva" w:hAnsi="Geneva"/>
        </w:rPr>
      </w:pPr>
      <w:r>
        <w:rPr>
          <w:rFonts w:ascii="仿宋_GB2312" w:eastAsia="仿宋_GB2312" w:hAnsi="Geneva" w:hint="eastAsia"/>
          <w:sz w:val="32"/>
          <w:szCs w:val="32"/>
        </w:rPr>
        <w:t>                                </w:t>
      </w:r>
      <w:r>
        <w:rPr>
          <w:rFonts w:ascii="仿宋_GB2312" w:eastAsia="仿宋_GB2312" w:hAnsi="Geneva" w:hint="eastAsia"/>
          <w:sz w:val="32"/>
          <w:szCs w:val="32"/>
        </w:rPr>
        <w:t>2017年9月6日</w:t>
      </w:r>
    </w:p>
    <w:p w:rsidR="005C2FF6" w:rsidRDefault="005C2FF6" w:rsidP="005C2FF6">
      <w:pPr>
        <w:pStyle w:val="p0"/>
        <w:snapToGrid w:val="0"/>
        <w:spacing w:before="0" w:beforeAutospacing="0" w:after="0" w:afterAutospacing="0" w:line="560" w:lineRule="exact"/>
        <w:rPr>
          <w:rFonts w:ascii="Geneva" w:hAnsi="Geneva"/>
        </w:rPr>
      </w:pPr>
      <w:r>
        <w:rPr>
          <w:rFonts w:ascii="仿宋_GB2312" w:eastAsia="仿宋_GB2312" w:hAnsi="Geneva" w:hint="eastAsia"/>
          <w:sz w:val="32"/>
          <w:szCs w:val="32"/>
        </w:rPr>
        <w:t>    </w:t>
      </w:r>
      <w:r>
        <w:rPr>
          <w:rFonts w:ascii="仿宋_GB2312" w:eastAsia="仿宋_GB2312" w:hAnsi="Geneva" w:hint="eastAsia"/>
          <w:sz w:val="32"/>
          <w:szCs w:val="32"/>
        </w:rPr>
        <w:t>（此件主动公开）</w:t>
      </w:r>
    </w:p>
    <w:p w:rsidR="005C2FF6" w:rsidRDefault="005C2FF6" w:rsidP="005C2FF6">
      <w:pPr>
        <w:pStyle w:val="p0"/>
        <w:snapToGrid w:val="0"/>
        <w:spacing w:before="0" w:beforeAutospacing="0" w:after="0" w:afterAutospacing="0" w:line="560" w:lineRule="exact"/>
        <w:rPr>
          <w:rFonts w:ascii="Geneva" w:hAnsi="Geneva"/>
        </w:rPr>
      </w:pPr>
      <w:r>
        <w:rPr>
          <w:rFonts w:ascii="Geneva" w:hAnsi="Geneva"/>
        </w:rPr>
        <w:t> </w:t>
      </w:r>
    </w:p>
    <w:p w:rsidR="005C2FF6" w:rsidRDefault="005C2FF6" w:rsidP="005C2FF6">
      <w:pPr>
        <w:pStyle w:val="p0"/>
        <w:snapToGrid w:val="0"/>
        <w:spacing w:before="0" w:beforeAutospacing="0" w:after="0" w:afterAutospacing="0" w:line="560" w:lineRule="exact"/>
        <w:rPr>
          <w:rFonts w:ascii="Geneva" w:hAnsi="Geneva"/>
        </w:rPr>
      </w:pPr>
    </w:p>
    <w:p w:rsidR="005C2FF6" w:rsidRDefault="005C2FF6" w:rsidP="005C2FF6">
      <w:pPr>
        <w:pStyle w:val="p0"/>
        <w:snapToGrid w:val="0"/>
        <w:spacing w:before="0" w:beforeAutospacing="0" w:after="0" w:afterAutospacing="0" w:line="560" w:lineRule="exact"/>
        <w:rPr>
          <w:rFonts w:ascii="Geneva" w:hAnsi="Geneva"/>
        </w:rPr>
      </w:pPr>
      <w:r>
        <w:rPr>
          <w:rFonts w:ascii="Geneva" w:hAnsi="Geneva"/>
        </w:rPr>
        <w:t> </w:t>
      </w:r>
    </w:p>
    <w:p w:rsidR="005C2FF6" w:rsidRDefault="005C2FF6" w:rsidP="005C2FF6">
      <w:pPr>
        <w:pStyle w:val="p0"/>
        <w:snapToGrid w:val="0"/>
        <w:spacing w:before="0" w:beforeAutospacing="0" w:after="0" w:afterAutospacing="0" w:line="560" w:lineRule="exact"/>
        <w:rPr>
          <w:rFonts w:ascii="Geneva" w:hAnsi="Geneva"/>
        </w:rPr>
      </w:pPr>
      <w:r>
        <w:rPr>
          <w:rFonts w:ascii="Geneva" w:hAnsi="Geneva"/>
        </w:rPr>
        <w:t> </w:t>
      </w:r>
    </w:p>
    <w:p w:rsidR="005C2FF6" w:rsidRDefault="005C2FF6" w:rsidP="005C2FF6">
      <w:pPr>
        <w:pStyle w:val="p0"/>
        <w:snapToGrid w:val="0"/>
        <w:spacing w:before="0" w:beforeAutospacing="0" w:after="0" w:afterAutospacing="0" w:line="560" w:lineRule="exact"/>
        <w:rPr>
          <w:rFonts w:ascii="Geneva" w:hAnsi="Geneva"/>
        </w:rPr>
      </w:pPr>
      <w:r>
        <w:rPr>
          <w:rFonts w:ascii="仿宋_GB2312" w:eastAsia="仿宋_GB2312" w:hAnsi="Geneva" w:hint="eastAsia"/>
          <w:sz w:val="28"/>
          <w:szCs w:val="28"/>
        </w:rPr>
        <w:t>  </w:t>
      </w:r>
      <w:r>
        <w:rPr>
          <w:rFonts w:ascii="仿宋_GB2312" w:eastAsia="仿宋_GB2312" w:hAnsi="Geneva" w:hint="eastAsia"/>
          <w:sz w:val="28"/>
          <w:szCs w:val="28"/>
        </w:rPr>
        <w:t>海南省教育厅办公室</w:t>
      </w:r>
      <w:r>
        <w:rPr>
          <w:rFonts w:ascii="仿宋_GB2312" w:eastAsia="仿宋_GB2312" w:hAnsi="Geneva" w:hint="eastAsia"/>
          <w:sz w:val="28"/>
          <w:szCs w:val="28"/>
        </w:rPr>
        <w:t>                 </w:t>
      </w:r>
      <w:r>
        <w:rPr>
          <w:rFonts w:ascii="Geneva" w:hAnsi="Geneva"/>
        </w:rPr>
        <w:t> </w:t>
      </w:r>
      <w:r>
        <w:rPr>
          <w:rFonts w:ascii="仿宋_GB2312" w:eastAsia="仿宋_GB2312" w:hAnsi="Geneva" w:hint="eastAsia"/>
          <w:sz w:val="28"/>
          <w:szCs w:val="28"/>
        </w:rPr>
        <w:t>       </w:t>
      </w:r>
      <w:r>
        <w:rPr>
          <w:rFonts w:ascii="仿宋_GB2312" w:eastAsia="仿宋_GB2312" w:hAnsi="Geneva" w:hint="eastAsia"/>
          <w:sz w:val="28"/>
          <w:szCs w:val="28"/>
        </w:rPr>
        <w:t>2017年9月6日印发</w:t>
      </w:r>
    </w:p>
    <w:p w:rsidR="005C2FF6" w:rsidRDefault="005C2FF6" w:rsidP="005C2FF6">
      <w:pPr>
        <w:pStyle w:val="p0"/>
        <w:snapToGrid w:val="0"/>
        <w:spacing w:before="0" w:beforeAutospacing="0" w:after="0" w:afterAutospacing="0" w:line="560" w:lineRule="exact"/>
        <w:jc w:val="both"/>
        <w:rPr>
          <w:rFonts w:ascii="Geneva" w:hAnsi="Geneva"/>
        </w:rPr>
      </w:pPr>
      <w:r>
        <w:rPr>
          <w:rFonts w:ascii="黑体" w:eastAsia="黑体" w:hAnsi="黑体" w:hint="eastAsia"/>
          <w:sz w:val="32"/>
          <w:szCs w:val="32"/>
        </w:rPr>
        <w:lastRenderedPageBreak/>
        <w:t>附件</w:t>
      </w:r>
    </w:p>
    <w:p w:rsidR="005C2FF6" w:rsidRDefault="005C2FF6" w:rsidP="005C2FF6">
      <w:pPr>
        <w:pStyle w:val="p0"/>
        <w:snapToGrid w:val="0"/>
        <w:spacing w:before="0" w:beforeAutospacing="0" w:after="0" w:afterAutospacing="0" w:line="560" w:lineRule="exact"/>
        <w:jc w:val="both"/>
        <w:rPr>
          <w:rFonts w:ascii="Geneva" w:hAnsi="Geneva"/>
        </w:rPr>
      </w:pPr>
      <w:r>
        <w:rPr>
          <w:rFonts w:ascii="Geneva" w:hAnsi="Geneva"/>
        </w:rPr>
        <w:t> </w:t>
      </w:r>
    </w:p>
    <w:p w:rsidR="005C2FF6" w:rsidRDefault="005C2FF6" w:rsidP="005C2FF6">
      <w:pPr>
        <w:pStyle w:val="p0"/>
        <w:snapToGrid w:val="0"/>
        <w:spacing w:before="0" w:beforeAutospacing="0" w:after="0" w:afterAutospacing="0" w:line="560" w:lineRule="exact"/>
        <w:jc w:val="center"/>
        <w:rPr>
          <w:rFonts w:ascii="Geneva" w:hAnsi="Geneva"/>
        </w:rPr>
      </w:pPr>
      <w:r>
        <w:rPr>
          <w:rFonts w:ascii="方正小标宋_GBK" w:eastAsia="方正小标宋_GBK" w:hAnsi="Geneva" w:hint="eastAsia"/>
          <w:sz w:val="44"/>
          <w:szCs w:val="44"/>
        </w:rPr>
        <w:t>2018年度海南省高等学校教育教学改革</w:t>
      </w:r>
    </w:p>
    <w:p w:rsidR="005C2FF6" w:rsidRDefault="005C2FF6" w:rsidP="005C2FF6">
      <w:pPr>
        <w:pStyle w:val="p0"/>
        <w:snapToGrid w:val="0"/>
        <w:spacing w:before="0" w:beforeAutospacing="0" w:after="0" w:afterAutospacing="0" w:line="560" w:lineRule="exact"/>
        <w:jc w:val="center"/>
        <w:rPr>
          <w:rFonts w:ascii="Geneva" w:hAnsi="Geneva"/>
        </w:rPr>
      </w:pPr>
      <w:r>
        <w:rPr>
          <w:rFonts w:ascii="方正小标宋_GBK" w:eastAsia="方正小标宋_GBK" w:hAnsi="Geneva" w:hint="eastAsia"/>
          <w:sz w:val="44"/>
          <w:szCs w:val="44"/>
        </w:rPr>
        <w:t>研究项目立项指南</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Geneva" w:hAnsi="Geneva"/>
        </w:rPr>
        <w:t> </w:t>
      </w:r>
    </w:p>
    <w:p w:rsidR="005C2FF6" w:rsidRDefault="005C2FF6" w:rsidP="00FC1E1E">
      <w:pPr>
        <w:pStyle w:val="p0"/>
        <w:snapToGrid w:val="0"/>
        <w:spacing w:before="0" w:beforeAutospacing="0" w:afterLines="50" w:afterAutospacing="0" w:line="560" w:lineRule="exact"/>
        <w:ind w:firstLine="641"/>
        <w:jc w:val="both"/>
        <w:rPr>
          <w:rFonts w:ascii="Geneva" w:hAnsi="Geneva"/>
        </w:rPr>
      </w:pPr>
      <w:r>
        <w:rPr>
          <w:rFonts w:ascii="黑体" w:eastAsia="黑体" w:hAnsi="黑体" w:hint="eastAsia"/>
          <w:sz w:val="32"/>
          <w:szCs w:val="32"/>
        </w:rPr>
        <w:t>一、高等教育发展战略研究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1.海南省地方本科院校转型发展研究</w:t>
      </w:r>
      <w:r>
        <w:rPr>
          <w:rFonts w:ascii="仿宋_GB2312" w:eastAsia="仿宋_GB2312" w:hAnsi="Geneva" w:hint="eastAsia"/>
          <w:sz w:val="32"/>
          <w:szCs w:val="32"/>
        </w:rPr>
        <w:t> </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2.海南高等教育人才培养适应区域经济发展研究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3.海南省高等教育人才培养布局与结构调整研究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4.海南省高等学校办学定位与特色发展研究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5.海南省高等学校核心竞争力研究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6.海南省高等学校分类指导研究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7.海南省高等学校专业结构布局与调整研究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8.示范性（骨干）高等职业院校建设的研究与实践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9.高职高专校企合作办学模式研究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10.高校办学自主权研究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11.省委大研讨、大行动涉及高等教育重大发展改革内容</w:t>
      </w:r>
    </w:p>
    <w:p w:rsidR="005C2FF6" w:rsidRDefault="005C2FF6" w:rsidP="00FC1E1E">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二、人才培养模式改革与创新</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1.高校大学生创新创业教育的研究与实践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2.高等学校人才培养合作模式探索与实践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3.拔尖创新人才培养的研究与实践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4.实施“卓越工程师培养计划”及其他领域应用型卓越人才培养的研究与实践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5.不同层次、不同类型院校人才培养模式的研究与实践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6.产学研用合作人才培养模式的研究与实践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7.高职技术技能型人才培养模式的研究与实践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8.专业硕士人才培养模式的研究与实践</w:t>
      </w:r>
      <w:r>
        <w:rPr>
          <w:rFonts w:ascii="仿宋_GB2312" w:eastAsia="仿宋_GB2312" w:hAnsi="Geneva" w:hint="eastAsia"/>
          <w:sz w:val="32"/>
          <w:szCs w:val="32"/>
        </w:rPr>
        <w:t> </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9.高等教育各类职业教育人才衔接培养模式研究与实践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10.各类职业教育人才培养与招生试点项目专业一体化人才培养方案研究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11.现代学徒制研究</w:t>
      </w:r>
    </w:p>
    <w:p w:rsidR="005C2FF6" w:rsidRPr="005C2FF6" w:rsidRDefault="005C2FF6" w:rsidP="00FC1E1E">
      <w:pPr>
        <w:pStyle w:val="p0"/>
        <w:snapToGrid w:val="0"/>
        <w:spacing w:beforeLines="50" w:beforeAutospacing="0" w:afterLines="50" w:afterAutospacing="0" w:line="560" w:lineRule="exact"/>
        <w:ind w:firstLine="641"/>
        <w:jc w:val="both"/>
        <w:rPr>
          <w:rFonts w:ascii="黑体" w:eastAsia="黑体" w:hAnsi="黑体"/>
          <w:sz w:val="32"/>
          <w:szCs w:val="32"/>
        </w:rPr>
      </w:pPr>
      <w:r>
        <w:rPr>
          <w:rFonts w:ascii="黑体" w:eastAsia="黑体" w:hAnsi="黑体" w:hint="eastAsia"/>
          <w:sz w:val="32"/>
          <w:szCs w:val="32"/>
        </w:rPr>
        <w:t>三、专业、课程建设与改革</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1.基于区域经济社会发展或产业结构调整的高等学校专业设置及动态调整机制的探索研究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2.高等学校专业办学水平评估研究与实践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3.专业课程体系与教学内容整体优化研究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4.高等学校特色专业、精品课程建设研究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5.基于行业标准的课程与教学内容体系研究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6.高校课程的准入、建设、评价与淘汰研究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7.高校课程建设标准与评估办法研究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8.高校公共基础课程教学改革与实践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9.高校通识教育课程的探索与实践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10.基于创新型人才培养的大学课程改革研究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11.研究生课程建设的改革研究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12.各类职业教育人才培养衔接课程建设研究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13.高等学校各类微课课程在教学中的应用研究</w:t>
      </w:r>
      <w:r>
        <w:rPr>
          <w:rFonts w:ascii="仿宋_GB2312" w:eastAsia="仿宋_GB2312" w:hAnsi="Geneva" w:hint="eastAsia"/>
          <w:sz w:val="32"/>
          <w:szCs w:val="32"/>
        </w:rPr>
        <w:t> </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14.本科专业综合改革研究与实践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15.MOOC课程建设与翻转课堂教学研究</w:t>
      </w:r>
    </w:p>
    <w:p w:rsidR="005C2FF6" w:rsidRDefault="005C2FF6" w:rsidP="00FC1E1E">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四、教学方法、手段改革与教学资源建设</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1.各类课程教学方法、手段的改革与实践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2.现代教育技术在教学中的应用研究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3.考试方式、方法的改革与实践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4.高等学校试题库建设与应用</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5.网络环境下学生自主学习能力的培养与评价研究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6.教学资源平台建设与管理的研究与实践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7.高等学校教学资源库建设的研究与实践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8.省级“质量工程”项目的示范性、推广性及共享研究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9.高等学校优质教育资源共建共享研究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10.高等学校微课教学资源库建设的研究与实践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11.高等学校精品视频公开课建设与研究</w:t>
      </w:r>
    </w:p>
    <w:p w:rsidR="005C2FF6" w:rsidRDefault="005C2FF6" w:rsidP="00FC1E1E">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五、高校实践教学模式改革与大学生创新能力培养</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1.高等学校实践教育模式创新和实践教育基地建设改革与实践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2.高等学校学科（专业、课程）实践教学（体系）改革研究与实践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3.高校大学生创新创业活动的研究与实践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4.推进高职高专“双证书”制度及加强职业资格鉴定的研究与实践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5.大学生综合实践技能竞赛改革与创新</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6.高职院校区域性（行业性、专业性）实训基地建设研究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7.实验室、实习实训基地、实验教学示范中心、校外实践基地以及实践教学共享平台建设的研究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8.高校校办创新创业孵化基地建设研究与实践</w:t>
      </w:r>
    </w:p>
    <w:p w:rsidR="005C2FF6" w:rsidRPr="005C2FF6" w:rsidRDefault="005C2FF6" w:rsidP="00FC1E1E">
      <w:pPr>
        <w:pStyle w:val="p0"/>
        <w:snapToGrid w:val="0"/>
        <w:spacing w:beforeLines="50" w:beforeAutospacing="0" w:afterLines="50" w:afterAutospacing="0" w:line="560" w:lineRule="exact"/>
        <w:ind w:firstLine="641"/>
        <w:jc w:val="both"/>
        <w:rPr>
          <w:rFonts w:ascii="黑体" w:eastAsia="黑体" w:hAnsi="黑体"/>
          <w:sz w:val="32"/>
          <w:szCs w:val="32"/>
        </w:rPr>
      </w:pPr>
      <w:r>
        <w:rPr>
          <w:rFonts w:ascii="黑体" w:eastAsia="黑体" w:hAnsi="黑体" w:hint="eastAsia"/>
          <w:sz w:val="32"/>
          <w:szCs w:val="32"/>
        </w:rPr>
        <w:t>六、教学团队与教师队伍建设</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1.教学团队建设的研究与实践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2.教师发展及服务支持体系研究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3.提升教师教学能力的研究与实践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4.高校教师考核与评价研究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5.高校教师教学激励与保障机制的研究与实践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6.高校名师成长机制与培养途径的研究与实践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7.高等学校高校中青年骨干教师培训研究与实践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8.高等学校“双师型”教师队伍建设研究与实践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9.高校教风与学风建设研究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10.高校创新创业教育师资队伍的建设研究与实践</w:t>
      </w:r>
    </w:p>
    <w:p w:rsidR="005C2FF6" w:rsidRPr="005C2FF6" w:rsidRDefault="005C2FF6" w:rsidP="00FC1E1E">
      <w:pPr>
        <w:pStyle w:val="p0"/>
        <w:snapToGrid w:val="0"/>
        <w:spacing w:beforeLines="50" w:beforeAutospacing="0" w:afterLines="50" w:afterAutospacing="0" w:line="560" w:lineRule="exact"/>
        <w:ind w:firstLine="641"/>
        <w:jc w:val="both"/>
        <w:rPr>
          <w:rFonts w:ascii="黑体" w:eastAsia="黑体" w:hAnsi="黑体"/>
          <w:sz w:val="32"/>
          <w:szCs w:val="32"/>
        </w:rPr>
      </w:pPr>
      <w:r>
        <w:rPr>
          <w:rFonts w:ascii="黑体" w:eastAsia="黑体" w:hAnsi="黑体" w:hint="eastAsia"/>
          <w:sz w:val="32"/>
          <w:szCs w:val="32"/>
        </w:rPr>
        <w:t>七、教学管理与质量监控体系</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1.高校教学管理体制与运行机制的研究与实践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2.高校教学管理队伍建设研究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3.高校现代化教学管理手段研究与实践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4.毕业设计（论文）质量管理研究与实践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5.高等学校教学基层组织形式及其管理的改革与实践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6.高校教学评价制度与质量管理研究与实践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7.多校区办学管理模式研究与实践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8.高等学校学生管理改革研究与实践</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9.大学生就业能力培养与就业指导模式改革研究</w:t>
      </w:r>
    </w:p>
    <w:p w:rsidR="005C2FF6" w:rsidRDefault="005C2FF6" w:rsidP="005C2FF6">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10.学分制改革研究与实践</w:t>
      </w:r>
    </w:p>
    <w:p w:rsidR="00777C14" w:rsidRDefault="00777C14" w:rsidP="005C2FF6">
      <w:pPr>
        <w:pStyle w:val="p0"/>
        <w:snapToGrid w:val="0"/>
        <w:spacing w:before="0" w:beforeAutospacing="0" w:after="0" w:afterAutospacing="0" w:line="560" w:lineRule="exact"/>
        <w:ind w:firstLine="640"/>
        <w:jc w:val="both"/>
        <w:rPr>
          <w:rFonts w:ascii="Geneva" w:hAnsi="Geneva"/>
        </w:rPr>
      </w:pPr>
    </w:p>
    <w:p w:rsidR="004D4963" w:rsidRDefault="004D4963" w:rsidP="005C2FF6">
      <w:pPr>
        <w:spacing w:line="560" w:lineRule="exact"/>
      </w:pPr>
    </w:p>
    <w:sectPr w:rsidR="004D4963" w:rsidSect="004D496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77D" w:rsidRDefault="00DF477D" w:rsidP="00307F55">
      <w:r>
        <w:separator/>
      </w:r>
    </w:p>
  </w:endnote>
  <w:endnote w:type="continuationSeparator" w:id="1">
    <w:p w:rsidR="00DF477D" w:rsidRDefault="00DF477D" w:rsidP="00307F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Geneva">
    <w:panose1 w:val="020B0503030404040204"/>
    <w:charset w:val="00"/>
    <w:family w:val="swiss"/>
    <w:pitch w:val="variable"/>
    <w:sig w:usb0="00000003" w:usb1="00000000" w:usb2="00000000" w:usb3="00000000" w:csb0="00000001" w:csb1="00000000"/>
  </w:font>
  <w:font w:name="方正小标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8558"/>
      <w:docPartObj>
        <w:docPartGallery w:val="Page Numbers (Bottom of Page)"/>
        <w:docPartUnique/>
      </w:docPartObj>
    </w:sdtPr>
    <w:sdtContent>
      <w:p w:rsidR="00307F55" w:rsidRDefault="000B3FD2">
        <w:pPr>
          <w:pStyle w:val="a4"/>
          <w:jc w:val="center"/>
        </w:pPr>
        <w:fldSimple w:instr=" PAGE   \* MERGEFORMAT ">
          <w:r w:rsidR="001167EB" w:rsidRPr="001167EB">
            <w:rPr>
              <w:noProof/>
              <w:lang w:val="zh-CN"/>
            </w:rPr>
            <w:t>10</w:t>
          </w:r>
        </w:fldSimple>
      </w:p>
    </w:sdtContent>
  </w:sdt>
  <w:p w:rsidR="00307F55" w:rsidRDefault="00307F5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77D" w:rsidRDefault="00DF477D" w:rsidP="00307F55">
      <w:r>
        <w:separator/>
      </w:r>
    </w:p>
  </w:footnote>
  <w:footnote w:type="continuationSeparator" w:id="1">
    <w:p w:rsidR="00DF477D" w:rsidRDefault="00DF477D" w:rsidP="00307F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7C14"/>
    <w:rsid w:val="00003780"/>
    <w:rsid w:val="00025919"/>
    <w:rsid w:val="000B3FD2"/>
    <w:rsid w:val="001167EB"/>
    <w:rsid w:val="002C4EF6"/>
    <w:rsid w:val="00307F55"/>
    <w:rsid w:val="004D4963"/>
    <w:rsid w:val="005C2FF6"/>
    <w:rsid w:val="00777C14"/>
    <w:rsid w:val="00DF477D"/>
    <w:rsid w:val="00F31AEF"/>
    <w:rsid w:val="00FC1E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9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777C14"/>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p16">
    <w:name w:val="p16"/>
    <w:basedOn w:val="a"/>
    <w:rsid w:val="00777C14"/>
    <w:pPr>
      <w:widowControl/>
      <w:spacing w:before="100" w:beforeAutospacing="1" w:after="100" w:afterAutospacing="1"/>
      <w:jc w:val="left"/>
    </w:pPr>
    <w:rPr>
      <w:rFonts w:ascii="宋体" w:eastAsia="宋体" w:hAnsi="宋体" w:cs="宋体"/>
      <w:color w:val="000000"/>
      <w:kern w:val="0"/>
      <w:sz w:val="18"/>
      <w:szCs w:val="18"/>
    </w:rPr>
  </w:style>
  <w:style w:type="paragraph" w:styleId="a3">
    <w:name w:val="header"/>
    <w:basedOn w:val="a"/>
    <w:link w:val="Char"/>
    <w:uiPriority w:val="99"/>
    <w:semiHidden/>
    <w:unhideWhenUsed/>
    <w:rsid w:val="00307F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07F55"/>
    <w:rPr>
      <w:sz w:val="18"/>
      <w:szCs w:val="18"/>
    </w:rPr>
  </w:style>
  <w:style w:type="paragraph" w:styleId="a4">
    <w:name w:val="footer"/>
    <w:basedOn w:val="a"/>
    <w:link w:val="Char0"/>
    <w:uiPriority w:val="99"/>
    <w:unhideWhenUsed/>
    <w:rsid w:val="00307F55"/>
    <w:pPr>
      <w:tabs>
        <w:tab w:val="center" w:pos="4153"/>
        <w:tab w:val="right" w:pos="8306"/>
      </w:tabs>
      <w:snapToGrid w:val="0"/>
      <w:jc w:val="left"/>
    </w:pPr>
    <w:rPr>
      <w:sz w:val="18"/>
      <w:szCs w:val="18"/>
    </w:rPr>
  </w:style>
  <w:style w:type="character" w:customStyle="1" w:styleId="Char0">
    <w:name w:val="页脚 Char"/>
    <w:basedOn w:val="a0"/>
    <w:link w:val="a4"/>
    <w:uiPriority w:val="99"/>
    <w:rsid w:val="00307F55"/>
    <w:rPr>
      <w:sz w:val="18"/>
      <w:szCs w:val="18"/>
    </w:rPr>
  </w:style>
</w:styles>
</file>

<file path=word/webSettings.xml><?xml version="1.0" encoding="utf-8"?>
<w:webSettings xmlns:r="http://schemas.openxmlformats.org/officeDocument/2006/relationships" xmlns:w="http://schemas.openxmlformats.org/wordprocessingml/2006/main">
  <w:divs>
    <w:div w:id="439108369">
      <w:bodyDiv w:val="1"/>
      <w:marLeft w:val="0"/>
      <w:marRight w:val="0"/>
      <w:marTop w:val="0"/>
      <w:marBottom w:val="0"/>
      <w:divBdr>
        <w:top w:val="none" w:sz="0" w:space="0" w:color="auto"/>
        <w:left w:val="none" w:sz="0" w:space="0" w:color="auto"/>
        <w:bottom w:val="none" w:sz="0" w:space="0" w:color="auto"/>
        <w:right w:val="none" w:sz="0" w:space="0" w:color="auto"/>
      </w:divBdr>
      <w:divsChild>
        <w:div w:id="1706783326">
          <w:marLeft w:val="0"/>
          <w:marRight w:val="0"/>
          <w:marTop w:val="0"/>
          <w:marBottom w:val="0"/>
          <w:divBdr>
            <w:top w:val="none" w:sz="0" w:space="0" w:color="auto"/>
            <w:left w:val="none" w:sz="0" w:space="0" w:color="auto"/>
            <w:bottom w:val="none" w:sz="0" w:space="0" w:color="auto"/>
            <w:right w:val="none" w:sz="0" w:space="0" w:color="auto"/>
          </w:divBdr>
          <w:divsChild>
            <w:div w:id="456724549">
              <w:marLeft w:val="0"/>
              <w:marRight w:val="0"/>
              <w:marTop w:val="0"/>
              <w:marBottom w:val="0"/>
              <w:divBdr>
                <w:top w:val="none" w:sz="0" w:space="0" w:color="auto"/>
                <w:left w:val="none" w:sz="0" w:space="0" w:color="auto"/>
                <w:bottom w:val="none" w:sz="0" w:space="0" w:color="auto"/>
                <w:right w:val="none" w:sz="0" w:space="0" w:color="auto"/>
              </w:divBdr>
            </w:div>
            <w:div w:id="109820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949639">
      <w:bodyDiv w:val="1"/>
      <w:marLeft w:val="0"/>
      <w:marRight w:val="0"/>
      <w:marTop w:val="0"/>
      <w:marBottom w:val="0"/>
      <w:divBdr>
        <w:top w:val="none" w:sz="0" w:space="0" w:color="auto"/>
        <w:left w:val="none" w:sz="0" w:space="0" w:color="auto"/>
        <w:bottom w:val="none" w:sz="0" w:space="0" w:color="auto"/>
        <w:right w:val="none" w:sz="0" w:space="0" w:color="auto"/>
      </w:divBdr>
      <w:divsChild>
        <w:div w:id="673725205">
          <w:marLeft w:val="0"/>
          <w:marRight w:val="0"/>
          <w:marTop w:val="0"/>
          <w:marBottom w:val="0"/>
          <w:divBdr>
            <w:top w:val="none" w:sz="0" w:space="0" w:color="auto"/>
            <w:left w:val="none" w:sz="0" w:space="0" w:color="auto"/>
            <w:bottom w:val="none" w:sz="0" w:space="0" w:color="auto"/>
            <w:right w:val="none" w:sz="0" w:space="0" w:color="auto"/>
          </w:divBdr>
          <w:divsChild>
            <w:div w:id="15146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52191">
      <w:bodyDiv w:val="1"/>
      <w:marLeft w:val="0"/>
      <w:marRight w:val="0"/>
      <w:marTop w:val="0"/>
      <w:marBottom w:val="0"/>
      <w:divBdr>
        <w:top w:val="none" w:sz="0" w:space="0" w:color="auto"/>
        <w:left w:val="none" w:sz="0" w:space="0" w:color="auto"/>
        <w:bottom w:val="none" w:sz="0" w:space="0" w:color="auto"/>
        <w:right w:val="none" w:sz="0" w:space="0" w:color="auto"/>
      </w:divBdr>
      <w:divsChild>
        <w:div w:id="1115825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590</Words>
  <Characters>3366</Characters>
  <Application>Microsoft Office Word</Application>
  <DocSecurity>0</DocSecurity>
  <Lines>28</Lines>
  <Paragraphs>7</Paragraphs>
  <ScaleCrop>false</ScaleCrop>
  <Company/>
  <LinksUpToDate>false</LinksUpToDate>
  <CharactersWithSpaces>3949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王雪梅</dc:creator>
  <cp:lastModifiedBy>Administrator</cp:lastModifiedBy>
  <cp:revision>4</cp:revision>
  <dcterms:created xsi:type="dcterms:W3CDTF">2016-09-18T01:36:00Z</dcterms:created>
  <dcterms:modified xsi:type="dcterms:W3CDTF">2017-09-07T03:03:00Z</dcterms:modified>
</cp:coreProperties>
</file>