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bookmarkStart w:id="0" w:name="_GoBack"/>
      <w:bookmarkEnd w:id="0"/>
    </w:p>
    <w:p>
      <w:pPr>
        <w:widowControl/>
        <w:shd w:val="clear" w:color="auto" w:fill="FFFFFF"/>
        <w:spacing w:line="300" w:lineRule="auto"/>
        <w:ind w:left="420" w:leftChars="200" w:right="399" w:rightChars="190"/>
      </w:pPr>
      <w:r>
        <w:rPr>
          <w:rFonts w:hint="eastAsia" w:ascii="宋体" w:hAnsi="宋体" w:cs="宋体"/>
          <w:b/>
          <w:bCs/>
          <w:kern w:val="0"/>
          <w:sz w:val="36"/>
          <w:szCs w:val="36"/>
        </w:rPr>
        <w:t>儋州校区人文通识经典智慧树网络课程及简介</w:t>
      </w:r>
    </w:p>
    <w:tbl>
      <w:tblPr>
        <w:tblStyle w:val="7"/>
        <w:tblpPr w:leftFromText="180" w:rightFromText="180" w:vertAnchor="text" w:horzAnchor="page" w:tblpX="1262" w:tblpY="432"/>
        <w:tblOverlap w:val="never"/>
        <w:tblW w:w="9249" w:type="dxa"/>
        <w:tblInd w:w="0" w:type="dxa"/>
        <w:tblLayout w:type="fixed"/>
        <w:tblCellMar>
          <w:top w:w="15" w:type="dxa"/>
          <w:left w:w="15" w:type="dxa"/>
          <w:bottom w:w="15" w:type="dxa"/>
          <w:right w:w="15" w:type="dxa"/>
        </w:tblCellMar>
      </w:tblPr>
      <w:tblGrid>
        <w:gridCol w:w="630"/>
        <w:gridCol w:w="3807"/>
        <w:gridCol w:w="2256"/>
        <w:gridCol w:w="1332"/>
        <w:gridCol w:w="1224"/>
      </w:tblGrid>
      <w:tr>
        <w:tblPrEx>
          <w:tblCellMar>
            <w:top w:w="15" w:type="dxa"/>
            <w:left w:w="15" w:type="dxa"/>
            <w:bottom w:w="15" w:type="dxa"/>
            <w:right w:w="15"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008080"/>
            <w:vAlign w:val="center"/>
          </w:tcPr>
          <w:p>
            <w:pPr>
              <w:widowControl/>
              <w:jc w:val="center"/>
              <w:textAlignment w:val="center"/>
              <w:rPr>
                <w:rFonts w:ascii="微软雅黑" w:hAnsi="微软雅黑" w:eastAsia="微软雅黑" w:cs="微软雅黑"/>
                <w:b/>
                <w:color w:val="FFFFFF"/>
                <w:sz w:val="20"/>
                <w:szCs w:val="20"/>
              </w:rPr>
            </w:pPr>
            <w:r>
              <w:rPr>
                <w:rFonts w:hint="eastAsia" w:ascii="微软雅黑" w:hAnsi="微软雅黑" w:eastAsia="微软雅黑" w:cs="微软雅黑"/>
                <w:b/>
                <w:color w:val="FFFFFF"/>
                <w:kern w:val="0"/>
                <w:sz w:val="20"/>
                <w:szCs w:val="20"/>
              </w:rPr>
              <w:t>序号</w:t>
            </w:r>
            <w:r>
              <w:rPr>
                <w:rFonts w:ascii="微软雅黑" w:hAnsi="微软雅黑" w:eastAsia="微软雅黑" w:cs="微软雅黑"/>
                <w:b/>
                <w:color w:val="FFFFFF"/>
                <w:kern w:val="0"/>
                <w:sz w:val="20"/>
                <w:szCs w:val="20"/>
              </w:rPr>
              <w:pict>
                <v:shape id="_x0000_i1025" o:spt="75" alt="IMG_256" type="#_x0000_t75" style="height:0.6pt;width:0.6pt;" filled="f" o:preferrelative="t" stroked="f" coordsize="21600,21600">
                  <v:path/>
                  <v:fill on="f" focussize="0,0"/>
                  <v:stroke on="f" joinstyle="miter"/>
                  <v:imagedata r:id="rId4" o:title=""/>
                  <o:lock v:ext="edit" aspectratio="t"/>
                  <w10:wrap type="none"/>
                  <w10:anchorlock/>
                </v:shape>
              </w:pict>
            </w:r>
          </w:p>
        </w:tc>
        <w:tc>
          <w:tcPr>
            <w:tcW w:w="3807" w:type="dxa"/>
            <w:tcBorders>
              <w:top w:val="single" w:color="000000" w:sz="4" w:space="0"/>
              <w:left w:val="single" w:color="000000" w:sz="4" w:space="0"/>
            </w:tcBorders>
            <w:shd w:val="clear" w:color="auto" w:fill="008080"/>
            <w:vAlign w:val="center"/>
          </w:tcPr>
          <w:p>
            <w:pPr>
              <w:widowControl/>
              <w:jc w:val="center"/>
              <w:textAlignment w:val="center"/>
              <w:rPr>
                <w:rFonts w:ascii="微软雅黑" w:hAnsi="微软雅黑" w:eastAsia="微软雅黑" w:cs="微软雅黑"/>
                <w:b/>
                <w:color w:val="FFFFFF"/>
                <w:sz w:val="20"/>
                <w:szCs w:val="20"/>
              </w:rPr>
            </w:pPr>
            <w:r>
              <w:rPr>
                <w:rFonts w:hint="eastAsia" w:ascii="微软雅黑" w:hAnsi="微软雅黑" w:eastAsia="微软雅黑" w:cs="微软雅黑"/>
                <w:b/>
                <w:color w:val="FFFFFF"/>
                <w:kern w:val="0"/>
                <w:sz w:val="20"/>
                <w:szCs w:val="20"/>
              </w:rPr>
              <w:t>课程名称</w:t>
            </w:r>
          </w:p>
        </w:tc>
        <w:tc>
          <w:tcPr>
            <w:tcW w:w="2256" w:type="dxa"/>
            <w:tcBorders>
              <w:top w:val="single" w:color="000000" w:sz="4" w:space="0"/>
              <w:left w:val="single" w:color="000000" w:sz="4" w:space="0"/>
              <w:bottom w:val="single" w:color="000000" w:sz="4" w:space="0"/>
              <w:right w:val="single" w:color="000000" w:sz="4" w:space="0"/>
            </w:tcBorders>
            <w:shd w:val="clear" w:color="auto" w:fill="008080"/>
            <w:vAlign w:val="center"/>
          </w:tcPr>
          <w:p>
            <w:pPr>
              <w:widowControl/>
              <w:jc w:val="center"/>
              <w:textAlignment w:val="center"/>
              <w:rPr>
                <w:rFonts w:ascii="微软雅黑" w:hAnsi="微软雅黑" w:eastAsia="微软雅黑" w:cs="微软雅黑"/>
                <w:b/>
                <w:color w:val="FFFFFF"/>
                <w:sz w:val="20"/>
                <w:szCs w:val="20"/>
              </w:rPr>
            </w:pPr>
            <w:r>
              <w:rPr>
                <w:rFonts w:hint="eastAsia" w:ascii="微软雅黑" w:hAnsi="微软雅黑" w:eastAsia="微软雅黑" w:cs="微软雅黑"/>
                <w:b/>
                <w:color w:val="FFFFFF"/>
                <w:kern w:val="0"/>
                <w:sz w:val="20"/>
                <w:szCs w:val="20"/>
              </w:rPr>
              <w:t>开课学校</w:t>
            </w:r>
          </w:p>
        </w:tc>
        <w:tc>
          <w:tcPr>
            <w:tcW w:w="1332" w:type="dxa"/>
            <w:tcBorders>
              <w:top w:val="single" w:color="000000" w:sz="4" w:space="0"/>
              <w:left w:val="single" w:color="000000" w:sz="4" w:space="0"/>
              <w:bottom w:val="single" w:color="000000" w:sz="4" w:space="0"/>
              <w:right w:val="single" w:color="000000" w:sz="4" w:space="0"/>
            </w:tcBorders>
            <w:shd w:val="clear" w:color="auto" w:fill="008080"/>
            <w:vAlign w:val="center"/>
          </w:tcPr>
          <w:p>
            <w:pPr>
              <w:widowControl/>
              <w:jc w:val="center"/>
              <w:textAlignment w:val="center"/>
              <w:rPr>
                <w:rFonts w:ascii="微软雅黑" w:hAnsi="微软雅黑" w:eastAsia="微软雅黑" w:cs="微软雅黑"/>
                <w:b/>
                <w:color w:val="FFFFFF"/>
                <w:sz w:val="20"/>
                <w:szCs w:val="20"/>
              </w:rPr>
            </w:pPr>
            <w:r>
              <w:rPr>
                <w:rFonts w:hint="eastAsia" w:ascii="微软雅黑" w:hAnsi="微软雅黑" w:eastAsia="微软雅黑" w:cs="微软雅黑"/>
                <w:b/>
                <w:color w:val="FFFFFF"/>
                <w:kern w:val="0"/>
                <w:sz w:val="20"/>
                <w:szCs w:val="20"/>
              </w:rPr>
              <w:t>负责人</w:t>
            </w:r>
          </w:p>
        </w:tc>
        <w:tc>
          <w:tcPr>
            <w:tcW w:w="1224" w:type="dxa"/>
            <w:tcBorders>
              <w:top w:val="single" w:color="000000" w:sz="4" w:space="0"/>
              <w:left w:val="single" w:color="000000" w:sz="4" w:space="0"/>
              <w:bottom w:val="single" w:color="000000" w:sz="4" w:space="0"/>
              <w:right w:val="single" w:color="000000" w:sz="4" w:space="0"/>
            </w:tcBorders>
            <w:shd w:val="clear" w:color="auto" w:fill="008080"/>
            <w:vAlign w:val="center"/>
          </w:tcPr>
          <w:p>
            <w:pPr>
              <w:widowControl/>
              <w:jc w:val="center"/>
              <w:textAlignment w:val="center"/>
              <w:rPr>
                <w:rFonts w:ascii="微软雅黑" w:hAnsi="微软雅黑" w:eastAsia="微软雅黑" w:cs="微软雅黑"/>
                <w:b/>
                <w:color w:val="FFFFFF"/>
                <w:sz w:val="20"/>
                <w:szCs w:val="20"/>
              </w:rPr>
            </w:pPr>
            <w:r>
              <w:rPr>
                <w:rFonts w:hint="eastAsia" w:ascii="微软雅黑" w:hAnsi="微软雅黑" w:eastAsia="微软雅黑" w:cs="微软雅黑"/>
                <w:b/>
                <w:color w:val="FFFFFF"/>
                <w:kern w:val="0"/>
                <w:sz w:val="20"/>
                <w:szCs w:val="20"/>
              </w:rPr>
              <w:t>学分</w:t>
            </w:r>
          </w:p>
        </w:tc>
      </w:tr>
      <w:tr>
        <w:tblPrEx>
          <w:tblCellMar>
            <w:top w:w="15" w:type="dxa"/>
            <w:left w:w="15" w:type="dxa"/>
            <w:bottom w:w="15" w:type="dxa"/>
            <w:right w:w="15" w:type="dxa"/>
          </w:tblCellMar>
        </w:tblPrEx>
        <w:trPr>
          <w:trHeight w:val="7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1</w:t>
            </w: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中国古典诗词中的品格与修养</w:t>
            </w:r>
          </w:p>
        </w:tc>
        <w:tc>
          <w:tcPr>
            <w:tcW w:w="2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南开大学</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张静</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6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中国哲学经典著作导读</w:t>
            </w:r>
          </w:p>
        </w:tc>
        <w:tc>
          <w:tcPr>
            <w:tcW w:w="2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西安交通大学</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燕连福</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52"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3</w:t>
            </w: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中华国学</w:t>
            </w:r>
          </w:p>
        </w:tc>
        <w:tc>
          <w:tcPr>
            <w:tcW w:w="2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南开大学</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张荣明</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4</w:t>
            </w:r>
          </w:p>
        </w:tc>
        <w:tc>
          <w:tcPr>
            <w:tcW w:w="38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文艺复兴经典名著选读</w:t>
            </w:r>
          </w:p>
        </w:tc>
        <w:tc>
          <w:tcPr>
            <w:tcW w:w="2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北京大学</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朱孝远</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4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5</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孙子兵法中的思维智慧</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哈尔滨工程大学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于凡</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6</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唐诗宋词人文解读</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上海交通大学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李康化</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7</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中国传统文化撷英</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天津大学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王祎</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8</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走近杜甫</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四川大学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王红</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9</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唐诗与长安文化</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陕西师范大学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柏俊才</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10</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古诗词鉴赏</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上海对外经贸大学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秦淑娟、孙益波</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2</w:t>
            </w:r>
          </w:p>
        </w:tc>
      </w:tr>
      <w:tr>
        <w:tblPrEx>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11</w:t>
            </w:r>
          </w:p>
        </w:tc>
        <w:tc>
          <w:tcPr>
            <w:tcW w:w="38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西方文论经典导读</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浙江大学</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苏宏斌</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0"/>
                <w:szCs w:val="20"/>
              </w:rPr>
            </w:pPr>
            <w:r>
              <w:rPr>
                <w:rFonts w:ascii="微软雅黑" w:hAnsi="微软雅黑" w:eastAsia="微软雅黑" w:cs="微软雅黑"/>
                <w:color w:val="000000"/>
                <w:kern w:val="0"/>
                <w:sz w:val="20"/>
                <w:szCs w:val="20"/>
              </w:rPr>
              <w:t>2</w:t>
            </w:r>
          </w:p>
        </w:tc>
      </w:tr>
    </w:tbl>
    <w:p/>
    <w:p/>
    <w:p/>
    <w:p>
      <w:pPr>
        <w:tabs>
          <w:tab w:val="left" w:pos="1370"/>
        </w:tabs>
        <w:ind w:firstLine="602"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课程简介：</w:t>
      </w:r>
    </w:p>
    <w:p>
      <w:pPr>
        <w:tabs>
          <w:tab w:val="left" w:pos="1370"/>
        </w:tabs>
        <w:ind w:firstLine="602"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b/>
          <w:bCs/>
          <w:color w:val="000000"/>
          <w:kern w:val="0"/>
          <w:sz w:val="30"/>
          <w:szCs w:val="30"/>
        </w:rPr>
        <w:t>1</w:t>
      </w:r>
      <w:r>
        <w:rPr>
          <w:rFonts w:hint="eastAsia" w:ascii="仿宋_GB2312" w:hAnsi="仿宋_GB2312" w:eastAsia="仿宋_GB2312" w:cs="仿宋_GB2312"/>
          <w:b/>
          <w:bCs/>
          <w:color w:val="000000"/>
          <w:kern w:val="0"/>
          <w:sz w:val="30"/>
          <w:szCs w:val="30"/>
        </w:rPr>
        <w:t>、课程名称：中国古典诗词中的品格与修养</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课程结合具体作品，分别从作品中主人公的品格、作家自身的修养以及读者境界的层次逐个深入地引导大家一起去分析影响中国古典诗词中品格修养高下的因素，也就是作品、作家、读者三要素。选取了杜甫、李商隐、韦庄、晏殊、秦观、李清照、王国维等七位重要作家，逐一赏析他们的佳作名篇、剖解他们各自最具代表性的语体风格，引领大家深入对这些作家品格、作品风格的体认。结合现实生活选取了一批经典诗词，借助古典诗词佳作名篇的感染力，培养美好的人生情怀。</w:t>
      </w:r>
    </w:p>
    <w:p>
      <w:pPr>
        <w:tabs>
          <w:tab w:val="left" w:pos="1370"/>
        </w:tabs>
        <w:ind w:firstLine="602"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b/>
          <w:bCs/>
          <w:color w:val="000000"/>
          <w:kern w:val="0"/>
          <w:sz w:val="30"/>
          <w:szCs w:val="30"/>
        </w:rPr>
        <w:t>2</w:t>
      </w:r>
      <w:r>
        <w:rPr>
          <w:rFonts w:hint="eastAsia" w:ascii="仿宋_GB2312" w:hAnsi="仿宋_GB2312" w:eastAsia="仿宋_GB2312" w:cs="仿宋_GB2312"/>
          <w:b/>
          <w:bCs/>
          <w:color w:val="000000"/>
          <w:kern w:val="0"/>
          <w:sz w:val="30"/>
          <w:szCs w:val="30"/>
        </w:rPr>
        <w:t>、课程名称：中国哲学经典著作导读</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课程介绍中国哲学经典著作的主要思想。其中包括《周易》、孔子《论语》、老子《道德经》，《大学》《中庸》，《庄子》，《孙子兵法》，《墨经》，《心经》、朱熹理学想以及王阳明《传习录》的思想。既有对儒释道经典的介绍，也有对理学、心学思想的阐释，以期以一种更广阔的视角看待中国传统哲学，让学生能够对中国传统哲学有一种全方位的认识。</w:t>
      </w:r>
    </w:p>
    <w:p>
      <w:pPr>
        <w:tabs>
          <w:tab w:val="left" w:pos="1370"/>
        </w:tabs>
        <w:spacing w:beforeLines="50"/>
        <w:ind w:firstLine="602" w:firstLineChars="200"/>
        <w:jc w:val="left"/>
        <w:rPr>
          <w:rFonts w:ascii="仿宋_GB2312" w:hAnsi="仿宋_GB2312" w:eastAsia="仿宋_GB2312" w:cs="仿宋_GB2312"/>
          <w:color w:val="000000"/>
          <w:kern w:val="0"/>
          <w:sz w:val="30"/>
          <w:szCs w:val="30"/>
        </w:rPr>
      </w:pPr>
      <w:r>
        <w:rPr>
          <w:rFonts w:ascii="仿宋_GB2312" w:hAnsi="仿宋_GB2312" w:eastAsia="仿宋_GB2312" w:cs="仿宋_GB2312"/>
          <w:b/>
          <w:bCs/>
          <w:color w:val="000000"/>
          <w:kern w:val="0"/>
          <w:sz w:val="30"/>
          <w:szCs w:val="30"/>
        </w:rPr>
        <w:t>3</w:t>
      </w:r>
      <w:r>
        <w:rPr>
          <w:rFonts w:hint="eastAsia" w:ascii="仿宋_GB2312" w:hAnsi="仿宋_GB2312" w:eastAsia="仿宋_GB2312" w:cs="仿宋_GB2312"/>
          <w:b/>
          <w:bCs/>
          <w:color w:val="000000"/>
          <w:kern w:val="0"/>
          <w:sz w:val="30"/>
          <w:szCs w:val="30"/>
        </w:rPr>
        <w:t>、课程名称：中华国学</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课程是南开大学人文素质通识教育课程，获中国高等教育学会“大学素质教育精品通选课”称号。本课程中涉及诸子百家的部分，以“诸子的智慧”为课程名称，在教育部“爱课程”网站、“网易公开课”播出后，被评为“国家视频公开课”。现与东西部高校课程共享联盟的服务运营商智慧树合作，推出此课程。课程主要介绍：《易经》与易学、阴阳五行学说法家学说、先秦儒学、诸子学说、儒家经学、老子道学、庄子道学、道教学说、佛教禅学、唯识学。本课程培养大学生高尚人格及审美情趣并实现国学文化的广度和深度的弘扬。</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课程名称：文艺复兴经典名著选读</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本课程不单纯从历史的角度讲历史，而是从大文化的内涵发掘历史。课程以文艺复兴关键人物纵向陈列框架，以人物代表著作横向组织内容，历史、政治、文化、艺术</w:t>
      </w:r>
      <w:r>
        <w:rPr>
          <w:rFonts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多学科内容交叉覆盖。让学生掌握欧洲文艺复兴历史的基本脉络，了解文艺复兴艺术、文学作品的风格及同时期政治、文化的风格；理解文艺复兴是欧洲由衰及兴的转折点；认知文化对国家发展的重要性；领悟学习文艺复兴的现实意义</w:t>
      </w:r>
      <w:r>
        <w:rPr>
          <w:rFonts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rPr>
        <w:t>文化强则国家强。</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课程名称：孙子兵法中的思维智慧</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课程以《孙子兵法》书中的思想观点为依托，结合大量事例分析，重点讲授思想的内涵和运用。课程内容中包含有大量的事例，涉及军事、政治、商业、外交、体育等各个领域。由于事例的涉及面较广，所以总能找到学生感兴趣的切合点，从而引导学生建立正确的世界观和人生观，学习分析问题的方法论。</w:t>
      </w:r>
    </w:p>
    <w:p>
      <w:pPr>
        <w:numPr>
          <w:ilvl w:val="0"/>
          <w:numId w:val="1"/>
        </w:numPr>
        <w:tabs>
          <w:tab w:val="left" w:pos="1370"/>
        </w:tabs>
        <w:spacing w:beforeLines="50"/>
        <w:ind w:firstLine="602"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b/>
          <w:bCs/>
          <w:color w:val="000000"/>
          <w:kern w:val="0"/>
          <w:sz w:val="30"/>
          <w:szCs w:val="30"/>
        </w:rPr>
        <w:t>课程名称：唐诗宋词人文解读</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唐诗宋词人文解读》不是单纯的诗词鉴赏课程，侧重点着眼在主题与情感、诗人与时代、艺术与审美等所蕴涵的人文精神。课程选取了唐诗、宋词中有代表性的若干主题，涉及到诗学样式、词体内涵、文人心理、文学种群、诗词情感、社会文化、文人与政治等多个层面的内容，涵盖了文学、哲学、心理学、文化人类学、政治学等各个层面。并通过“人”与“文”结合，将多个层次与层面相统一于“人文精神”。本课程选取的角度是主题类型的人文解读，与我们的日常生活以及文化精神生活息息相关，既能够引发情感共鸣，又能够给予审美愉悦。本课程让学生在读诗论词之中，通过中国文人了解中国历史与文化。《唐诗宋词人文解读》讲人，讲文，讲唐诗宋词中蕴含的人文精神，从中获得人生感悟、生活智慧。</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课程名称：中国传统文化撷英</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当今世界国际交流越来越频繁，不少外国友人希望了解中国思维、中国特色。当代政府越来越重视传统文化，希望创新性地运用中国智慧于新时期建设。当今社会越来越多的人注意到传统文化的价值，国学热兴起，从儿童到成人各种特色的国学班……。中国传统文化的重要性，不言而喻。</w:t>
      </w:r>
      <w:r>
        <w:rPr>
          <w:rFonts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rPr>
        <w:t>这门课正是在这种大背景下精心设计而出的。在七年授课的基础上，进一步优化教学内容和授课方法，使课程的受众面更广。不是只有古文基础的同学才能看懂的“过分深邃”，也不是以时间为顺序的常规讲述。无论你是文史哲专业的同学，还是热爱传统文化的非文科同学。无论你是在校学生，还是社会人士；无论你是土生土长的中国人，爱国侨胞，还是喜欢中国的外国人，这门课都会使你学有所获。在浩如烟海的传统文化海洋里，我们精心选择设计九个传统文化的主要侧面，以生动、活泼的教法和内容，抛砖引玉、采英撷华，深入浅出地向大家展现优秀传统文化的独特魅力。</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课程名称：走近杜甫</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公元八世纪中叶，中国，鼎盛的大唐王朝陷入战火兵燹，国家动荡，兵凶战危，一个憔悴的诗人在灾难国土上颠沛流离，艰难行走，眼望河山残破，亲见百姓呻吟流血，痛苦、悲悯、仁爱，使他超越功利，走向成熟，成就了诗的“苦难辉煌”。他走过中原，走向陇蜀。艰难秦州，温润成都，苍莽夔府，大半生的跌宕经历、丰厚情感，数千里变幻无穷的江山风土，酿造出一千四百首充满人文情怀、人生情趣又气象万千的诗作。这就是杜甫，在诗的中国无人不知、无人不晓的伟大诗人。杜甫，有说不尽的话题；杜甫，是一部读不完的书。本课程所读的杜诗，绝不是“一饭未尝忘君”的忠孝之作、教化之诗，这里有石壕村的眼泪，有浣花溪边的欢笑，忧喜悲欣，都是人间歌哭。我们将要亲近的是一个仁爱、敏感、温情的杜甫，至性真情，高贵，美好，而不是一个冷冰冰的“圣人”标签。不仰望，不过度阐释，让我们穿越一千多年历史烟云，走进唐代，走近杜甫，阅读杜诗。</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课程名称：唐诗与长安文化</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西安，古称长安。历史上有十三个王朝先后建都于此，故称十三朝古都。长安地处八百里秦川中部，土地平旷，沃野千里，经济发达，学人辈出，思想活跃。在周、秦、汉之际，已经形成了以儒家礼乐制度为主体，开放包容、兼容并蓄的格局。张骞出使西域之后，中西文化交流频繁，长安成为丝绸之路上最为繁忙的大都市。唐代在隋朝大兴城的基础上扩建长安城，“八水绕长安”的美丽景象首次呈现在世人面前。唐代政治清明经济繁荣、国力强盛、思想自由、文化开放，由长安出发出玉门关到西亚，经广州沿海上到达非洲，由扬州东渡日本的陆上丝绸之路与海上丝绸之路初见成效，中西贸易往来极为便利，长安成为世界上最为繁荣的国际化大都市。这门课程由唐代长安诗歌解读入手，分为爱情文化、政治文化、佛教文化、道家文化、科举文化、女性文化、酒文化、民俗文化、风景名胜、西域文化十个专题。让人们领略唐代长安文化辉煌灿烂的艺术魅力，增进文化自信，增强民族自豪感。</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课程名称：古诗词鉴赏</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从“人”的角度出发，经典诗歌导读。从“情”的维度解读，传递古诗今意。</w:t>
      </w:r>
    </w:p>
    <w:p>
      <w:pPr>
        <w:numPr>
          <w:ilvl w:val="0"/>
          <w:numId w:val="1"/>
        </w:numPr>
        <w:tabs>
          <w:tab w:val="left" w:pos="1370"/>
        </w:tabs>
        <w:spacing w:beforeLines="50"/>
        <w:ind w:firstLine="602" w:firstLineChars="200"/>
        <w:jc w:val="left"/>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课程名称：西方文论经典导读</w:t>
      </w:r>
    </w:p>
    <w:p>
      <w:pPr>
        <w:tabs>
          <w:tab w:val="left" w:pos="1370"/>
        </w:tabs>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本课程主要对文论大师其人及其思想做简要介绍；对经典著作的关键段落进行主句串讲；对经典著作的基本观点进行梳理和概括。着力于开拓学生的国际视野；致力于培养符合时代要求的新型人才；将融合本学科的前沿成果。</w:t>
      </w:r>
    </w:p>
    <w:p>
      <w:pPr>
        <w:tabs>
          <w:tab w:val="left" w:pos="1370"/>
        </w:tabs>
        <w:spacing w:beforeLines="50"/>
        <w:ind w:left="602"/>
        <w:jc w:val="left"/>
        <w:rPr>
          <w:rFonts w:ascii="仿宋_GB2312" w:hAnsi="仿宋_GB2312" w:eastAsia="仿宋_GB2312" w:cs="仿宋_GB2312"/>
          <w:b/>
          <w:bCs/>
          <w:color w:val="00000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8C57"/>
    <w:multiLevelType w:val="singleLevel"/>
    <w:tmpl w:val="5A4D8C57"/>
    <w:lvl w:ilvl="0" w:tentative="0">
      <w:start w:val="4"/>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3A9"/>
    <w:rsid w:val="002354F3"/>
    <w:rsid w:val="004D479E"/>
    <w:rsid w:val="006B0EE4"/>
    <w:rsid w:val="006C54BA"/>
    <w:rsid w:val="007024B1"/>
    <w:rsid w:val="007662C4"/>
    <w:rsid w:val="007C5E21"/>
    <w:rsid w:val="007D01ED"/>
    <w:rsid w:val="007F6966"/>
    <w:rsid w:val="008B7B53"/>
    <w:rsid w:val="00996977"/>
    <w:rsid w:val="00AE73A9"/>
    <w:rsid w:val="00B07159"/>
    <w:rsid w:val="00B556E9"/>
    <w:rsid w:val="00C753CF"/>
    <w:rsid w:val="00DD0B7E"/>
    <w:rsid w:val="00E22F58"/>
    <w:rsid w:val="0F5B50C8"/>
    <w:rsid w:val="10B349FF"/>
    <w:rsid w:val="1B32037D"/>
    <w:rsid w:val="25D27B6C"/>
    <w:rsid w:val="26B7519B"/>
    <w:rsid w:val="30FE2FE6"/>
    <w:rsid w:val="35C93AF8"/>
    <w:rsid w:val="3F6214A7"/>
    <w:rsid w:val="422F7220"/>
    <w:rsid w:val="53BC0434"/>
    <w:rsid w:val="546C4E2E"/>
    <w:rsid w:val="546D5647"/>
    <w:rsid w:val="59A07A23"/>
    <w:rsid w:val="7C497C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9"/>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kern w:val="0"/>
      <w:sz w:val="24"/>
    </w:rPr>
  </w:style>
  <w:style w:type="character" w:customStyle="1" w:styleId="9">
    <w:name w:val="Heading 3 Char"/>
    <w:basedOn w:val="8"/>
    <w:link w:val="2"/>
    <w:semiHidden/>
    <w:locked/>
    <w:uiPriority w:val="99"/>
    <w:rPr>
      <w:rFonts w:ascii="Calibri" w:hAnsi="Calibri" w:cs="Times New Roman"/>
      <w:b/>
      <w:bCs/>
      <w:sz w:val="32"/>
      <w:szCs w:val="32"/>
    </w:rPr>
  </w:style>
  <w:style w:type="character" w:customStyle="1" w:styleId="10">
    <w:name w:val="Balloon Text Char"/>
    <w:basedOn w:val="8"/>
    <w:link w:val="3"/>
    <w:qFormat/>
    <w:locked/>
    <w:uiPriority w:val="99"/>
    <w:rPr>
      <w:rFonts w:ascii="Calibri" w:hAnsi="Calibri" w:eastAsia="宋体" w:cs="Times New Roman"/>
      <w:kern w:val="2"/>
      <w:sz w:val="18"/>
      <w:szCs w:val="18"/>
    </w:rPr>
  </w:style>
  <w:style w:type="character" w:customStyle="1" w:styleId="11">
    <w:name w:val="Header Char"/>
    <w:basedOn w:val="8"/>
    <w:link w:val="5"/>
    <w:qFormat/>
    <w:locked/>
    <w:uiPriority w:val="99"/>
    <w:rPr>
      <w:rFonts w:ascii="Calibri" w:hAnsi="Calibri" w:eastAsia="宋体" w:cs="Times New Roman"/>
      <w:kern w:val="2"/>
      <w:sz w:val="18"/>
      <w:szCs w:val="18"/>
    </w:rPr>
  </w:style>
  <w:style w:type="character" w:customStyle="1" w:styleId="12">
    <w:name w:val="Footer Char"/>
    <w:basedOn w:val="8"/>
    <w:link w:val="4"/>
    <w:qFormat/>
    <w:locked/>
    <w:uiPriority w:val="99"/>
    <w:rPr>
      <w:rFonts w:ascii="Calibri" w:hAnsi="Calibri" w:eastAsia="宋体" w:cs="Times New Roman"/>
      <w:kern w:val="2"/>
      <w:sz w:val="18"/>
      <w:szCs w:val="18"/>
    </w:rPr>
  </w:style>
  <w:style w:type="character" w:customStyle="1" w:styleId="13">
    <w:name w:val="teachname"/>
    <w:basedOn w:val="8"/>
    <w:qFormat/>
    <w:uiPriority w:val="99"/>
    <w:rPr>
      <w:rFonts w:cs="Times New Roman"/>
    </w:rPr>
  </w:style>
  <w:style w:type="character" w:customStyle="1" w:styleId="14">
    <w:name w:val="school"/>
    <w:basedOn w:val="8"/>
    <w:qFormat/>
    <w:uiPriority w:val="99"/>
    <w:rPr>
      <w:rFonts w:cs="Times New Roman"/>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455</Words>
  <Characters>2594</Characters>
  <Lines>0</Lines>
  <Paragraphs>0</Paragraphs>
  <TotalTime>25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c:creator>
  <cp:lastModifiedBy>思思</cp:lastModifiedBy>
  <dcterms:modified xsi:type="dcterms:W3CDTF">2020-07-07T07:16:48Z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KSORubyTemplateID" linkTarget="0">
    <vt:lpwstr>6</vt:lpwstr>
  </property>
</Properties>
</file>